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320" w:firstLineChars="3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宁波大学</w:t>
      </w:r>
      <w:r>
        <w:rPr>
          <w:rFonts w:hint="eastAsia" w:ascii="方正小标宋简体" w:hAnsi="方正小标宋简体" w:eastAsia="方正小标宋简体" w:cs="方正小标宋简体"/>
          <w:color w:val="000000"/>
          <w:sz w:val="44"/>
          <w:szCs w:val="44"/>
          <w:lang w:val="en-US" w:eastAsia="zh-CN"/>
        </w:rPr>
        <w:t>土木</w:t>
      </w:r>
      <w:r>
        <w:rPr>
          <w:rFonts w:hint="eastAsia" w:ascii="方正小标宋简体" w:hAnsi="方正小标宋简体" w:eastAsia="方正小标宋简体" w:cs="方正小标宋简体"/>
          <w:color w:val="000000"/>
          <w:sz w:val="44"/>
          <w:szCs w:val="44"/>
        </w:rPr>
        <w:t>与</w:t>
      </w:r>
      <w:r>
        <w:rPr>
          <w:rFonts w:hint="eastAsia" w:ascii="方正小标宋简体" w:hAnsi="方正小标宋简体" w:eastAsia="方正小标宋简体" w:cs="方正小标宋简体"/>
          <w:color w:val="000000"/>
          <w:sz w:val="44"/>
          <w:szCs w:val="44"/>
          <w:lang w:val="en-US" w:eastAsia="zh-CN"/>
        </w:rPr>
        <w:t>环境</w:t>
      </w:r>
      <w:r>
        <w:rPr>
          <w:rFonts w:hint="eastAsia" w:ascii="方正小标宋简体" w:hAnsi="方正小标宋简体" w:eastAsia="方正小标宋简体" w:cs="方正小标宋简体"/>
          <w:color w:val="000000"/>
          <w:sz w:val="44"/>
          <w:szCs w:val="44"/>
        </w:rPr>
        <w:t>工程学院</w:t>
      </w:r>
    </w:p>
    <w:p>
      <w:pPr>
        <w:spacing w:line="600" w:lineRule="exact"/>
        <w:ind w:firstLine="1760" w:firstLineChars="4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本科学生奖学金评定办法</w:t>
      </w:r>
    </w:p>
    <w:p>
      <w:pPr>
        <w:spacing w:line="600" w:lineRule="exact"/>
        <w:jc w:val="center"/>
        <w:rPr>
          <w:rFonts w:hint="eastAsia" w:eastAsia="方正小标宋简体"/>
          <w:color w:val="000000"/>
          <w:sz w:val="44"/>
          <w:szCs w:val="44"/>
        </w:rPr>
      </w:pPr>
      <w:r>
        <w:rPr>
          <w:rFonts w:hint="eastAsia" w:eastAsia="方正小标宋简体"/>
          <w:color w:val="000000"/>
          <w:sz w:val="44"/>
          <w:szCs w:val="44"/>
        </w:rPr>
        <w:t>（</w:t>
      </w:r>
      <w:r>
        <w:rPr>
          <w:rFonts w:hint="eastAsia" w:eastAsia="方正小标宋简体"/>
          <w:color w:val="000000"/>
          <w:sz w:val="44"/>
          <w:szCs w:val="44"/>
          <w:lang w:val="en-US" w:eastAsia="zh-CN"/>
        </w:rPr>
        <w:t>意见征求稿</w:t>
      </w:r>
      <w:r>
        <w:rPr>
          <w:rFonts w:hint="eastAsia" w:eastAsia="方正小标宋简体"/>
          <w:color w:val="000000"/>
          <w:sz w:val="44"/>
          <w:szCs w:val="44"/>
        </w:rPr>
        <w:t>）</w:t>
      </w:r>
    </w:p>
    <w:p>
      <w:pPr>
        <w:spacing w:line="460" w:lineRule="exact"/>
        <w:jc w:val="center"/>
        <w:rPr>
          <w:rFonts w:eastAsia="方正小标宋简体"/>
          <w:color w:val="000000"/>
          <w:sz w:val="44"/>
          <w:szCs w:val="44"/>
        </w:rPr>
      </w:pPr>
    </w:p>
    <w:p>
      <w:pPr>
        <w:spacing w:line="520" w:lineRule="exact"/>
        <w:jc w:val="center"/>
        <w:rPr>
          <w:rFonts w:eastAsia="方正黑体简体"/>
          <w:color w:val="000000"/>
          <w:szCs w:val="32"/>
        </w:rPr>
      </w:pPr>
      <w:r>
        <w:rPr>
          <w:rFonts w:hint="eastAsia" w:ascii="黑体" w:hAnsi="黑体" w:eastAsia="黑体" w:cs="黑体"/>
          <w:color w:val="000000"/>
          <w:szCs w:val="32"/>
        </w:rPr>
        <w:t>第一章 总则</w:t>
      </w:r>
    </w:p>
    <w:p>
      <w:pPr>
        <w:spacing w:line="520" w:lineRule="exact"/>
        <w:ind w:firstLine="420" w:firstLineChars="200"/>
        <w:rPr>
          <w:rFonts w:ascii="仿宋_GB2312" w:cs="宋体"/>
          <w:szCs w:val="32"/>
        </w:rPr>
      </w:pPr>
      <w:r>
        <w:rPr>
          <w:rFonts w:hint="eastAsia" w:ascii="仿宋_GB2312" w:cs="宋体"/>
          <w:szCs w:val="32"/>
        </w:rPr>
        <w:t>第一条  为全面贯彻高校立德树人的教育方针，适应社会发展对人才需求的变化，建立健全教育质量评价机制，鼓励学生全面发展。培养具有国际视野、创新创业精神、实践能力和社会责任感的一流人才，建设特色鲜明的一流大学。依据《普通高等学校学生管理规定》和《宁波大学本科生奖学金评定办法》（宁大政[2021]45号）的有关要求，结合我院实际，制定本细则。</w:t>
      </w:r>
    </w:p>
    <w:p>
      <w:pPr>
        <w:spacing w:line="520" w:lineRule="exact"/>
        <w:ind w:firstLine="420" w:firstLineChars="200"/>
        <w:rPr>
          <w:rFonts w:ascii="仿宋_GB2312" w:cs="宋体"/>
          <w:szCs w:val="32"/>
        </w:rPr>
      </w:pPr>
      <w:r>
        <w:rPr>
          <w:rFonts w:hint="eastAsia" w:ascii="仿宋_GB2312" w:cs="宋体"/>
          <w:szCs w:val="32"/>
        </w:rPr>
        <w:t>第二条  本细则适用于我院大二、大三、大四的全日制普通高等教育本科学生（毕业学生只评定绣山清寒考研奖学金）。</w:t>
      </w:r>
    </w:p>
    <w:p>
      <w:pPr>
        <w:spacing w:line="520" w:lineRule="exact"/>
        <w:jc w:val="center"/>
        <w:rPr>
          <w:rFonts w:eastAsia="黑体"/>
          <w:color w:val="000000"/>
          <w:szCs w:val="32"/>
        </w:rPr>
      </w:pPr>
      <w:r>
        <w:rPr>
          <w:rFonts w:hint="eastAsia" w:ascii="黑体" w:hAnsi="黑体" w:eastAsia="黑体" w:cs="黑体"/>
          <w:color w:val="000000"/>
          <w:szCs w:val="32"/>
        </w:rPr>
        <w:t>第二章 奖学金的类别、标准与比例</w:t>
      </w:r>
    </w:p>
    <w:p>
      <w:pPr>
        <w:spacing w:line="520" w:lineRule="exact"/>
        <w:ind w:firstLine="420" w:firstLineChars="200"/>
        <w:rPr>
          <w:rFonts w:hint="eastAsia" w:ascii="仿宋_GB2312" w:cs="宋体"/>
          <w:szCs w:val="32"/>
        </w:rPr>
      </w:pPr>
      <w:r>
        <w:rPr>
          <w:rFonts w:hint="eastAsia" w:ascii="仿宋_GB2312" w:cs="宋体"/>
          <w:szCs w:val="32"/>
        </w:rPr>
        <w:t>第三条  奖学金分为国家类奖学金、省级奖学金、学校奖学金、捐赠奖学金。</w:t>
      </w:r>
    </w:p>
    <w:p>
      <w:pPr>
        <w:spacing w:line="520" w:lineRule="exact"/>
        <w:ind w:firstLine="420" w:firstLineChars="200"/>
        <w:rPr>
          <w:rFonts w:hint="eastAsia" w:ascii="仿宋_GB2312" w:hAnsi="黑体" w:cs="宋体"/>
          <w:szCs w:val="32"/>
        </w:rPr>
      </w:pPr>
      <w:r>
        <w:rPr>
          <w:rFonts w:hint="eastAsia" w:ascii="仿宋_GB2312" w:hAnsi="黑体" w:cs="宋体"/>
          <w:szCs w:val="32"/>
        </w:rPr>
        <w:t>（一）国家类奖学金。</w:t>
      </w:r>
    </w:p>
    <w:tbl>
      <w:tblPr>
        <w:tblStyle w:val="4"/>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297"/>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00" w:type="dxa"/>
            <w:noWrap w:val="0"/>
            <w:vAlign w:val="center"/>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类别</w:t>
            </w:r>
          </w:p>
        </w:tc>
        <w:tc>
          <w:tcPr>
            <w:tcW w:w="2297" w:type="dxa"/>
            <w:noWrap w:val="0"/>
            <w:vAlign w:val="center"/>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奖学金金额</w:t>
            </w:r>
          </w:p>
        </w:tc>
        <w:tc>
          <w:tcPr>
            <w:tcW w:w="3433" w:type="dxa"/>
            <w:noWrap w:val="0"/>
            <w:vAlign w:val="center"/>
          </w:tcPr>
          <w:p>
            <w:pPr>
              <w:spacing w:line="520" w:lineRule="exact"/>
              <w:ind w:firstLine="420" w:firstLineChars="200"/>
              <w:rPr>
                <w:rFonts w:ascii="黑体" w:hAnsi="黑体" w:eastAsia="黑体" w:cs="宋体"/>
                <w:color w:val="000000"/>
                <w:szCs w:val="32"/>
              </w:rPr>
            </w:pPr>
            <w:r>
              <w:rPr>
                <w:rFonts w:hint="eastAsia" w:ascii="黑体" w:hAnsi="黑体" w:eastAsia="黑体" w:cs="宋体"/>
                <w:color w:val="000000"/>
                <w:szCs w:val="32"/>
              </w:rPr>
              <w:t>获奖学生名额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700"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国家奖学金</w:t>
            </w:r>
          </w:p>
        </w:tc>
        <w:tc>
          <w:tcPr>
            <w:tcW w:w="2297"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每人8000元</w:t>
            </w:r>
          </w:p>
        </w:tc>
        <w:tc>
          <w:tcPr>
            <w:tcW w:w="3433"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按下达指标评选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700"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国家励志奖学金</w:t>
            </w:r>
          </w:p>
        </w:tc>
        <w:tc>
          <w:tcPr>
            <w:tcW w:w="2297"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每人5000元</w:t>
            </w:r>
          </w:p>
        </w:tc>
        <w:tc>
          <w:tcPr>
            <w:tcW w:w="3433"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按下达指标评选</w:t>
            </w:r>
          </w:p>
        </w:tc>
      </w:tr>
    </w:tbl>
    <w:p>
      <w:pPr>
        <w:spacing w:line="520" w:lineRule="exact"/>
        <w:ind w:firstLine="420" w:firstLineChars="200"/>
        <w:rPr>
          <w:rFonts w:ascii="仿宋_GB2312" w:cs="宋体"/>
          <w:szCs w:val="32"/>
        </w:rPr>
      </w:pPr>
      <w:r>
        <w:rPr>
          <w:rFonts w:hint="eastAsia" w:ascii="仿宋_GB2312" w:cs="宋体"/>
          <w:szCs w:val="32"/>
        </w:rPr>
        <w:t>（二）省级奖学金</w:t>
      </w:r>
    </w:p>
    <w:tbl>
      <w:tblPr>
        <w:tblStyle w:val="4"/>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306"/>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noWrap w:val="0"/>
            <w:vAlign w:val="top"/>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类别</w:t>
            </w:r>
          </w:p>
        </w:tc>
        <w:tc>
          <w:tcPr>
            <w:tcW w:w="2306" w:type="dxa"/>
            <w:noWrap w:val="0"/>
            <w:vAlign w:val="top"/>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奖学金金额</w:t>
            </w:r>
          </w:p>
        </w:tc>
        <w:tc>
          <w:tcPr>
            <w:tcW w:w="3435" w:type="dxa"/>
            <w:noWrap w:val="0"/>
            <w:vAlign w:val="top"/>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获奖学生比例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top"/>
          </w:tcPr>
          <w:p>
            <w:pPr>
              <w:spacing w:line="520" w:lineRule="exact"/>
              <w:jc w:val="center"/>
              <w:rPr>
                <w:rFonts w:ascii="仿宋_GB2312" w:cs="宋体"/>
                <w:color w:val="000000"/>
                <w:szCs w:val="32"/>
              </w:rPr>
            </w:pPr>
            <w:r>
              <w:rPr>
                <w:rFonts w:hint="eastAsia" w:ascii="仿宋_GB2312" w:cs="宋体"/>
                <w:color w:val="000000"/>
                <w:szCs w:val="32"/>
              </w:rPr>
              <w:t>省政府奖学金</w:t>
            </w:r>
          </w:p>
        </w:tc>
        <w:tc>
          <w:tcPr>
            <w:tcW w:w="2306" w:type="dxa"/>
            <w:noWrap w:val="0"/>
            <w:vAlign w:val="top"/>
          </w:tcPr>
          <w:p>
            <w:pPr>
              <w:spacing w:line="520" w:lineRule="exact"/>
              <w:jc w:val="center"/>
              <w:rPr>
                <w:rFonts w:ascii="仿宋_GB2312" w:cs="宋体"/>
                <w:color w:val="000000"/>
                <w:szCs w:val="32"/>
              </w:rPr>
            </w:pPr>
            <w:r>
              <w:rPr>
                <w:rFonts w:hint="eastAsia" w:ascii="仿宋_GB2312" w:cs="宋体"/>
                <w:color w:val="000000"/>
                <w:szCs w:val="32"/>
              </w:rPr>
              <w:t>每人6000元</w:t>
            </w:r>
          </w:p>
        </w:tc>
        <w:tc>
          <w:tcPr>
            <w:tcW w:w="3435" w:type="dxa"/>
            <w:noWrap w:val="0"/>
            <w:vAlign w:val="top"/>
          </w:tcPr>
          <w:p>
            <w:pPr>
              <w:spacing w:line="520" w:lineRule="exact"/>
              <w:jc w:val="center"/>
              <w:rPr>
                <w:rFonts w:ascii="仿宋_GB2312" w:cs="宋体"/>
                <w:color w:val="000000"/>
                <w:szCs w:val="32"/>
              </w:rPr>
            </w:pPr>
            <w:r>
              <w:rPr>
                <w:rFonts w:hint="eastAsia" w:ascii="仿宋_GB2312" w:cs="宋体"/>
                <w:color w:val="000000"/>
                <w:szCs w:val="32"/>
              </w:rPr>
              <w:t>按下达指标评选</w:t>
            </w:r>
          </w:p>
        </w:tc>
      </w:tr>
    </w:tbl>
    <w:p>
      <w:pPr>
        <w:spacing w:line="520" w:lineRule="exact"/>
        <w:ind w:firstLine="420" w:firstLineChars="200"/>
        <w:rPr>
          <w:rFonts w:hint="eastAsia" w:ascii="仿宋_GB2312" w:cs="宋体"/>
          <w:szCs w:val="32"/>
        </w:rPr>
      </w:pPr>
      <w:r>
        <w:rPr>
          <w:rFonts w:hint="eastAsia" w:ascii="仿宋_GB2312" w:cs="宋体"/>
          <w:szCs w:val="32"/>
        </w:rPr>
        <w:t>（三）学校奖学金</w:t>
      </w:r>
    </w:p>
    <w:tbl>
      <w:tblPr>
        <w:tblStyle w:val="4"/>
        <w:tblW w:w="8430"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2269"/>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705" w:type="dxa"/>
            <w:noWrap w:val="0"/>
            <w:vAlign w:val="center"/>
          </w:tcPr>
          <w:p>
            <w:pPr>
              <w:spacing w:line="520" w:lineRule="exact"/>
              <w:jc w:val="center"/>
              <w:rPr>
                <w:rFonts w:ascii="黑体" w:hAnsi="黑体" w:eastAsia="黑体" w:cs="宋体"/>
                <w:szCs w:val="32"/>
              </w:rPr>
            </w:pPr>
            <w:r>
              <w:rPr>
                <w:rFonts w:hint="eastAsia" w:ascii="黑体" w:hAnsi="黑体" w:eastAsia="黑体" w:cs="宋体"/>
                <w:szCs w:val="32"/>
              </w:rPr>
              <w:t>类别</w:t>
            </w:r>
          </w:p>
        </w:tc>
        <w:tc>
          <w:tcPr>
            <w:tcW w:w="2269" w:type="dxa"/>
            <w:noWrap w:val="0"/>
            <w:vAlign w:val="center"/>
          </w:tcPr>
          <w:p>
            <w:pPr>
              <w:spacing w:line="520" w:lineRule="exact"/>
              <w:jc w:val="center"/>
              <w:rPr>
                <w:rFonts w:ascii="黑体" w:hAnsi="黑体" w:eastAsia="黑体" w:cs="宋体"/>
                <w:szCs w:val="32"/>
              </w:rPr>
            </w:pPr>
            <w:r>
              <w:rPr>
                <w:rFonts w:hint="eastAsia" w:ascii="黑体" w:hAnsi="黑体" w:eastAsia="黑体" w:cs="宋体"/>
                <w:szCs w:val="32"/>
              </w:rPr>
              <w:t>奖学金金额</w:t>
            </w:r>
          </w:p>
        </w:tc>
        <w:tc>
          <w:tcPr>
            <w:tcW w:w="3456" w:type="dxa"/>
            <w:noWrap w:val="0"/>
            <w:vAlign w:val="center"/>
          </w:tcPr>
          <w:p>
            <w:pPr>
              <w:spacing w:line="520" w:lineRule="exact"/>
              <w:jc w:val="center"/>
              <w:rPr>
                <w:rFonts w:ascii="黑体" w:hAnsi="黑体" w:eastAsia="黑体" w:cs="宋体"/>
                <w:szCs w:val="32"/>
              </w:rPr>
            </w:pPr>
            <w:r>
              <w:rPr>
                <w:rFonts w:hint="eastAsia" w:ascii="黑体" w:hAnsi="黑体" w:eastAsia="黑体" w:cs="宋体"/>
                <w:szCs w:val="32"/>
              </w:rPr>
              <w:t>获奖学生名额或比例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05" w:type="dxa"/>
            <w:noWrap w:val="0"/>
            <w:vAlign w:val="center"/>
          </w:tcPr>
          <w:p>
            <w:pPr>
              <w:spacing w:line="520" w:lineRule="exact"/>
              <w:jc w:val="center"/>
              <w:rPr>
                <w:rFonts w:ascii="仿宋_GB2312" w:cs="宋体"/>
                <w:szCs w:val="32"/>
              </w:rPr>
            </w:pPr>
            <w:r>
              <w:rPr>
                <w:rFonts w:hint="eastAsia" w:ascii="仿宋_GB2312" w:cs="宋体"/>
                <w:szCs w:val="32"/>
              </w:rPr>
              <w:t>校长奖学金</w:t>
            </w:r>
          </w:p>
        </w:tc>
        <w:tc>
          <w:tcPr>
            <w:tcW w:w="2269" w:type="dxa"/>
            <w:noWrap w:val="0"/>
            <w:vAlign w:val="center"/>
          </w:tcPr>
          <w:p>
            <w:pPr>
              <w:spacing w:line="520" w:lineRule="exact"/>
              <w:jc w:val="center"/>
              <w:rPr>
                <w:rFonts w:ascii="仿宋_GB2312" w:cs="宋体"/>
                <w:szCs w:val="32"/>
              </w:rPr>
            </w:pPr>
            <w:r>
              <w:rPr>
                <w:rFonts w:hint="eastAsia" w:ascii="仿宋_GB2312" w:cs="宋体"/>
                <w:szCs w:val="32"/>
              </w:rPr>
              <w:t>每人8000元</w:t>
            </w:r>
          </w:p>
        </w:tc>
        <w:tc>
          <w:tcPr>
            <w:tcW w:w="3456" w:type="dxa"/>
            <w:noWrap w:val="0"/>
            <w:vAlign w:val="center"/>
          </w:tcPr>
          <w:p>
            <w:pPr>
              <w:spacing w:line="520" w:lineRule="exact"/>
              <w:jc w:val="center"/>
              <w:rPr>
                <w:rFonts w:ascii="仿宋_GB2312" w:cs="宋体"/>
                <w:szCs w:val="32"/>
              </w:rPr>
            </w:pPr>
            <w:r>
              <w:rPr>
                <w:rFonts w:hint="eastAsia" w:ascii="仿宋_GB2312" w:cs="宋体"/>
                <w:szCs w:val="32"/>
                <w:lang w:val="en-US" w:eastAsia="zh-CN"/>
              </w:rPr>
              <w:t>全校</w:t>
            </w:r>
            <w:r>
              <w:rPr>
                <w:rFonts w:hint="eastAsia" w:ascii="仿宋_GB2312" w:cs="宋体"/>
                <w:szCs w:val="32"/>
              </w:rPr>
              <w:t>10名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05" w:type="dxa"/>
            <w:noWrap w:val="0"/>
            <w:vAlign w:val="center"/>
          </w:tcPr>
          <w:p>
            <w:pPr>
              <w:spacing w:line="520" w:lineRule="exact"/>
              <w:jc w:val="center"/>
              <w:rPr>
                <w:rFonts w:ascii="仿宋_GB2312" w:cs="宋体"/>
                <w:szCs w:val="32"/>
              </w:rPr>
            </w:pPr>
            <w:r>
              <w:rPr>
                <w:rFonts w:hint="eastAsia" w:ascii="仿宋_GB2312" w:cs="宋体"/>
                <w:szCs w:val="32"/>
              </w:rPr>
              <w:t>特等奖学金</w:t>
            </w:r>
          </w:p>
        </w:tc>
        <w:tc>
          <w:tcPr>
            <w:tcW w:w="2269" w:type="dxa"/>
            <w:noWrap w:val="0"/>
            <w:vAlign w:val="center"/>
          </w:tcPr>
          <w:p>
            <w:pPr>
              <w:spacing w:line="520" w:lineRule="exact"/>
              <w:jc w:val="center"/>
              <w:rPr>
                <w:rFonts w:ascii="仿宋_GB2312" w:cs="宋体"/>
                <w:szCs w:val="32"/>
              </w:rPr>
            </w:pPr>
            <w:r>
              <w:rPr>
                <w:rFonts w:hint="eastAsia" w:ascii="仿宋_GB2312" w:cs="宋体"/>
                <w:szCs w:val="32"/>
              </w:rPr>
              <w:t>每人5000元</w:t>
            </w:r>
          </w:p>
        </w:tc>
        <w:tc>
          <w:tcPr>
            <w:tcW w:w="3456" w:type="dxa"/>
            <w:noWrap w:val="0"/>
            <w:vAlign w:val="center"/>
          </w:tcPr>
          <w:p>
            <w:pPr>
              <w:spacing w:line="520" w:lineRule="exact"/>
              <w:jc w:val="center"/>
              <w:rPr>
                <w:rFonts w:ascii="仿宋_GB2312" w:cs="宋体"/>
                <w:szCs w:val="32"/>
              </w:rPr>
            </w:pPr>
            <w:r>
              <w:rPr>
                <w:rFonts w:hint="eastAsia" w:ascii="仿宋_GB2312" w:cs="宋体"/>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05" w:type="dxa"/>
            <w:noWrap w:val="0"/>
            <w:vAlign w:val="center"/>
          </w:tcPr>
          <w:p>
            <w:pPr>
              <w:spacing w:line="520" w:lineRule="exact"/>
              <w:jc w:val="center"/>
              <w:rPr>
                <w:rFonts w:ascii="仿宋_GB2312" w:cs="宋体"/>
                <w:szCs w:val="32"/>
              </w:rPr>
            </w:pPr>
            <w:r>
              <w:rPr>
                <w:rFonts w:hint="eastAsia" w:ascii="仿宋_GB2312" w:cs="宋体"/>
                <w:szCs w:val="32"/>
              </w:rPr>
              <w:t>一等奖学金</w:t>
            </w:r>
          </w:p>
        </w:tc>
        <w:tc>
          <w:tcPr>
            <w:tcW w:w="2269" w:type="dxa"/>
            <w:noWrap w:val="0"/>
            <w:vAlign w:val="center"/>
          </w:tcPr>
          <w:p>
            <w:pPr>
              <w:spacing w:line="520" w:lineRule="exact"/>
              <w:jc w:val="center"/>
              <w:rPr>
                <w:rFonts w:ascii="仿宋_GB2312" w:cs="宋体"/>
                <w:szCs w:val="32"/>
              </w:rPr>
            </w:pPr>
            <w:r>
              <w:rPr>
                <w:rFonts w:hint="eastAsia" w:ascii="仿宋_GB2312" w:cs="宋体"/>
                <w:szCs w:val="32"/>
              </w:rPr>
              <w:t>每人2000元</w:t>
            </w:r>
          </w:p>
        </w:tc>
        <w:tc>
          <w:tcPr>
            <w:tcW w:w="3456" w:type="dxa"/>
            <w:noWrap w:val="0"/>
            <w:vAlign w:val="center"/>
          </w:tcPr>
          <w:p>
            <w:pPr>
              <w:spacing w:line="520" w:lineRule="exact"/>
              <w:jc w:val="center"/>
              <w:rPr>
                <w:rFonts w:ascii="仿宋_GB2312" w:cs="宋体"/>
                <w:szCs w:val="32"/>
              </w:rPr>
            </w:pPr>
            <w:r>
              <w:rPr>
                <w:rFonts w:hint="eastAsia" w:ascii="仿宋_GB2312" w:cs="宋体"/>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05" w:type="dxa"/>
            <w:noWrap w:val="0"/>
            <w:vAlign w:val="center"/>
          </w:tcPr>
          <w:p>
            <w:pPr>
              <w:spacing w:line="520" w:lineRule="exact"/>
              <w:jc w:val="center"/>
              <w:rPr>
                <w:rFonts w:ascii="仿宋_GB2312" w:cs="宋体"/>
                <w:szCs w:val="32"/>
              </w:rPr>
            </w:pPr>
            <w:r>
              <w:rPr>
                <w:rFonts w:hint="eastAsia" w:ascii="仿宋_GB2312" w:cs="宋体"/>
                <w:szCs w:val="32"/>
              </w:rPr>
              <w:t>二等奖学金</w:t>
            </w:r>
          </w:p>
        </w:tc>
        <w:tc>
          <w:tcPr>
            <w:tcW w:w="2269" w:type="dxa"/>
            <w:noWrap w:val="0"/>
            <w:vAlign w:val="center"/>
          </w:tcPr>
          <w:p>
            <w:pPr>
              <w:spacing w:line="520" w:lineRule="exact"/>
              <w:jc w:val="center"/>
              <w:rPr>
                <w:rFonts w:ascii="仿宋_GB2312" w:cs="宋体"/>
                <w:szCs w:val="32"/>
              </w:rPr>
            </w:pPr>
            <w:r>
              <w:rPr>
                <w:rFonts w:hint="eastAsia" w:ascii="仿宋_GB2312" w:cs="宋体"/>
                <w:szCs w:val="32"/>
              </w:rPr>
              <w:t>每人1000元</w:t>
            </w:r>
          </w:p>
        </w:tc>
        <w:tc>
          <w:tcPr>
            <w:tcW w:w="3456" w:type="dxa"/>
            <w:noWrap w:val="0"/>
            <w:vAlign w:val="center"/>
          </w:tcPr>
          <w:p>
            <w:pPr>
              <w:spacing w:line="520" w:lineRule="exact"/>
              <w:jc w:val="center"/>
              <w:rPr>
                <w:rFonts w:ascii="仿宋_GB2312" w:cs="宋体"/>
                <w:szCs w:val="32"/>
              </w:rPr>
            </w:pPr>
            <w:r>
              <w:rPr>
                <w:rFonts w:hint="eastAsia" w:ascii="仿宋_GB2312" w:cs="宋体"/>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705" w:type="dxa"/>
            <w:noWrap w:val="0"/>
            <w:vAlign w:val="center"/>
          </w:tcPr>
          <w:p>
            <w:pPr>
              <w:spacing w:line="520" w:lineRule="exact"/>
              <w:jc w:val="center"/>
              <w:rPr>
                <w:rFonts w:ascii="仿宋_GB2312" w:cs="宋体"/>
                <w:szCs w:val="32"/>
              </w:rPr>
            </w:pPr>
            <w:r>
              <w:rPr>
                <w:rFonts w:hint="eastAsia" w:ascii="仿宋_GB2312" w:cs="宋体"/>
                <w:szCs w:val="32"/>
              </w:rPr>
              <w:t>三等奖学金</w:t>
            </w:r>
          </w:p>
        </w:tc>
        <w:tc>
          <w:tcPr>
            <w:tcW w:w="2269" w:type="dxa"/>
            <w:noWrap w:val="0"/>
            <w:vAlign w:val="center"/>
          </w:tcPr>
          <w:p>
            <w:pPr>
              <w:spacing w:line="520" w:lineRule="exact"/>
              <w:jc w:val="center"/>
              <w:rPr>
                <w:rFonts w:ascii="仿宋_GB2312" w:cs="宋体"/>
                <w:szCs w:val="32"/>
              </w:rPr>
            </w:pPr>
            <w:r>
              <w:rPr>
                <w:rFonts w:hint="eastAsia" w:ascii="仿宋_GB2312" w:cs="宋体"/>
                <w:szCs w:val="32"/>
              </w:rPr>
              <w:t>每人500元</w:t>
            </w:r>
          </w:p>
        </w:tc>
        <w:tc>
          <w:tcPr>
            <w:tcW w:w="3456" w:type="dxa"/>
            <w:noWrap w:val="0"/>
            <w:vAlign w:val="center"/>
          </w:tcPr>
          <w:p>
            <w:pPr>
              <w:spacing w:line="520" w:lineRule="exact"/>
              <w:jc w:val="center"/>
              <w:rPr>
                <w:rFonts w:ascii="仿宋_GB2312" w:cs="宋体"/>
                <w:szCs w:val="32"/>
              </w:rPr>
            </w:pPr>
            <w:r>
              <w:rPr>
                <w:rFonts w:hint="eastAsia" w:ascii="仿宋_GB2312" w:cs="宋体"/>
                <w:szCs w:val="32"/>
              </w:rPr>
              <w:t>18%</w:t>
            </w:r>
          </w:p>
        </w:tc>
      </w:tr>
    </w:tbl>
    <w:p>
      <w:pPr>
        <w:spacing w:line="520" w:lineRule="exact"/>
        <w:ind w:firstLine="420" w:firstLineChars="200"/>
        <w:rPr>
          <w:rFonts w:hint="eastAsia" w:ascii="仿宋_GB2312" w:cs="宋体"/>
          <w:szCs w:val="32"/>
        </w:rPr>
      </w:pPr>
      <w:r>
        <w:rPr>
          <w:rFonts w:hint="eastAsia" w:ascii="仿宋_GB2312" w:cs="宋体"/>
          <w:szCs w:val="32"/>
        </w:rPr>
        <w:t xml:space="preserve">（四）捐赠奖学金 </w:t>
      </w:r>
    </w:p>
    <w:tbl>
      <w:tblPr>
        <w:tblStyle w:val="4"/>
        <w:tblW w:w="8430"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965"/>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326" w:type="dxa"/>
            <w:noWrap w:val="0"/>
            <w:vAlign w:val="center"/>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类别</w:t>
            </w:r>
          </w:p>
        </w:tc>
        <w:tc>
          <w:tcPr>
            <w:tcW w:w="1965" w:type="dxa"/>
            <w:noWrap w:val="0"/>
            <w:vAlign w:val="center"/>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奖学金金额</w:t>
            </w:r>
          </w:p>
        </w:tc>
        <w:tc>
          <w:tcPr>
            <w:tcW w:w="3139" w:type="dxa"/>
            <w:noWrap w:val="0"/>
            <w:vAlign w:val="center"/>
          </w:tcPr>
          <w:p>
            <w:pPr>
              <w:spacing w:line="520" w:lineRule="exact"/>
              <w:jc w:val="center"/>
              <w:rPr>
                <w:rFonts w:ascii="黑体" w:hAnsi="黑体" w:eastAsia="黑体" w:cs="宋体"/>
                <w:color w:val="000000"/>
                <w:szCs w:val="32"/>
              </w:rPr>
            </w:pPr>
            <w:r>
              <w:rPr>
                <w:rFonts w:hint="eastAsia" w:ascii="黑体" w:hAnsi="黑体" w:eastAsia="黑体" w:cs="宋体"/>
                <w:color w:val="000000"/>
                <w:szCs w:val="32"/>
              </w:rPr>
              <w:t>获奖学生名额或比例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6" w:type="dxa"/>
            <w:noWrap w:val="0"/>
            <w:vAlign w:val="center"/>
          </w:tcPr>
          <w:p>
            <w:pPr>
              <w:spacing w:line="520" w:lineRule="exact"/>
              <w:jc w:val="center"/>
              <w:rPr>
                <w:rFonts w:ascii="仿宋_GB2312" w:cs="宋体"/>
                <w:szCs w:val="32"/>
              </w:rPr>
            </w:pPr>
            <w:r>
              <w:rPr>
                <w:rFonts w:hint="eastAsia" w:ascii="仿宋_GB2312" w:cs="宋体"/>
                <w:szCs w:val="32"/>
              </w:rPr>
              <w:t>阿尔卑斯阿尔派奖学金</w:t>
            </w:r>
          </w:p>
        </w:tc>
        <w:tc>
          <w:tcPr>
            <w:tcW w:w="1965" w:type="dxa"/>
            <w:noWrap w:val="0"/>
            <w:vAlign w:val="center"/>
          </w:tcPr>
          <w:p>
            <w:pPr>
              <w:spacing w:line="520" w:lineRule="exact"/>
              <w:jc w:val="center"/>
              <w:rPr>
                <w:rFonts w:ascii="仿宋_GB2312" w:cs="宋体"/>
                <w:szCs w:val="32"/>
              </w:rPr>
            </w:pPr>
            <w:r>
              <w:rPr>
                <w:rFonts w:hint="eastAsia" w:ascii="仿宋_GB2312" w:cs="宋体"/>
                <w:szCs w:val="32"/>
              </w:rPr>
              <w:t>每人4000元</w:t>
            </w:r>
          </w:p>
        </w:tc>
        <w:tc>
          <w:tcPr>
            <w:tcW w:w="3139" w:type="dxa"/>
            <w:noWrap w:val="0"/>
            <w:vAlign w:val="center"/>
          </w:tcPr>
          <w:p>
            <w:pPr>
              <w:spacing w:line="520" w:lineRule="exact"/>
              <w:jc w:val="center"/>
              <w:rPr>
                <w:rFonts w:ascii="仿宋_GB2312" w:cs="宋体"/>
                <w:szCs w:val="32"/>
              </w:rPr>
            </w:pPr>
            <w:r>
              <w:rPr>
                <w:rFonts w:hint="eastAsia" w:ascii="仿宋_GB2312" w:cs="宋体"/>
                <w:szCs w:val="32"/>
                <w:lang w:val="en-US" w:eastAsia="zh-CN"/>
              </w:rPr>
              <w:t>全校</w:t>
            </w:r>
            <w:r>
              <w:rPr>
                <w:rFonts w:hint="eastAsia" w:ascii="仿宋_GB2312" w:cs="宋体"/>
                <w:szCs w:val="32"/>
              </w:rPr>
              <w:t>20名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6" w:type="dxa"/>
            <w:noWrap w:val="0"/>
            <w:vAlign w:val="center"/>
          </w:tcPr>
          <w:p>
            <w:pPr>
              <w:spacing w:line="520" w:lineRule="exact"/>
              <w:jc w:val="center"/>
              <w:rPr>
                <w:rFonts w:hint="eastAsia" w:ascii="仿宋_GB2312" w:cs="宋体"/>
                <w:szCs w:val="32"/>
              </w:rPr>
            </w:pPr>
            <w:r>
              <w:rPr>
                <w:rFonts w:hint="eastAsia" w:ascii="仿宋_GB2312" w:cs="宋体"/>
                <w:szCs w:val="32"/>
              </w:rPr>
              <w:t>郁厚培、余桂英奖学金</w:t>
            </w:r>
          </w:p>
        </w:tc>
        <w:tc>
          <w:tcPr>
            <w:tcW w:w="1965" w:type="dxa"/>
            <w:noWrap w:val="0"/>
            <w:vAlign w:val="center"/>
          </w:tcPr>
          <w:p>
            <w:pPr>
              <w:spacing w:line="520" w:lineRule="exact"/>
              <w:jc w:val="center"/>
              <w:rPr>
                <w:rFonts w:ascii="仿宋_GB2312" w:cs="宋体"/>
                <w:szCs w:val="32"/>
              </w:rPr>
            </w:pPr>
            <w:r>
              <w:rPr>
                <w:rFonts w:hint="eastAsia" w:ascii="仿宋_GB2312" w:cs="宋体"/>
                <w:szCs w:val="32"/>
              </w:rPr>
              <w:t>每人6000元</w:t>
            </w:r>
          </w:p>
        </w:tc>
        <w:tc>
          <w:tcPr>
            <w:tcW w:w="3139" w:type="dxa"/>
            <w:noWrap w:val="0"/>
            <w:vAlign w:val="center"/>
          </w:tcPr>
          <w:p>
            <w:pPr>
              <w:spacing w:line="520" w:lineRule="exact"/>
              <w:jc w:val="center"/>
              <w:rPr>
                <w:rFonts w:ascii="仿宋_GB2312" w:cs="宋体"/>
                <w:szCs w:val="32"/>
              </w:rPr>
            </w:pPr>
            <w:r>
              <w:rPr>
                <w:rFonts w:hint="eastAsia" w:ascii="仿宋_GB2312" w:cs="宋体"/>
                <w:szCs w:val="32"/>
                <w:lang w:val="en-US" w:eastAsia="zh-CN"/>
              </w:rPr>
              <w:t>全校</w:t>
            </w:r>
            <w:r>
              <w:rPr>
                <w:rFonts w:hint="eastAsia" w:ascii="仿宋_GB2312" w:cs="宋体"/>
                <w:szCs w:val="32"/>
              </w:rPr>
              <w:t>10名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6"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福建商会奖学金</w:t>
            </w:r>
          </w:p>
        </w:tc>
        <w:tc>
          <w:tcPr>
            <w:tcW w:w="1965" w:type="dxa"/>
            <w:noWrap w:val="0"/>
            <w:vAlign w:val="center"/>
          </w:tcPr>
          <w:p>
            <w:pPr>
              <w:spacing w:line="520" w:lineRule="exact"/>
              <w:jc w:val="center"/>
              <w:rPr>
                <w:rFonts w:hint="eastAsia" w:ascii="仿宋_GB2312" w:cs="宋体"/>
                <w:color w:val="000000"/>
                <w:szCs w:val="32"/>
              </w:rPr>
            </w:pPr>
            <w:r>
              <w:rPr>
                <w:rFonts w:hint="eastAsia" w:ascii="仿宋_GB2312" w:cs="宋体"/>
                <w:color w:val="000000"/>
                <w:szCs w:val="32"/>
              </w:rPr>
              <w:t>特等每人10000元</w:t>
            </w:r>
          </w:p>
          <w:p>
            <w:pPr>
              <w:spacing w:line="520" w:lineRule="exact"/>
              <w:jc w:val="center"/>
              <w:rPr>
                <w:rFonts w:ascii="仿宋_GB2312" w:cs="宋体"/>
                <w:color w:val="000000"/>
                <w:szCs w:val="32"/>
              </w:rPr>
            </w:pPr>
            <w:r>
              <w:rPr>
                <w:rFonts w:hint="eastAsia" w:ascii="仿宋_GB2312" w:cs="宋体"/>
                <w:color w:val="000000"/>
                <w:szCs w:val="32"/>
              </w:rPr>
              <w:t>一等每人3000元</w:t>
            </w:r>
          </w:p>
        </w:tc>
        <w:tc>
          <w:tcPr>
            <w:tcW w:w="3139" w:type="dxa"/>
            <w:noWrap w:val="0"/>
            <w:vAlign w:val="center"/>
          </w:tcPr>
          <w:p>
            <w:pPr>
              <w:spacing w:line="520" w:lineRule="exact"/>
              <w:jc w:val="center"/>
              <w:rPr>
                <w:rFonts w:ascii="仿宋_GB2312" w:cs="宋体"/>
                <w:color w:val="000000"/>
                <w:szCs w:val="32"/>
              </w:rPr>
            </w:pPr>
            <w:r>
              <w:rPr>
                <w:rFonts w:hint="eastAsia" w:ascii="仿宋_GB2312" w:cs="宋体"/>
                <w:szCs w:val="32"/>
                <w:lang w:val="en-US" w:eastAsia="zh-CN"/>
              </w:rPr>
              <w:t>全校</w:t>
            </w:r>
            <w:r>
              <w:rPr>
                <w:rFonts w:hint="eastAsia" w:ascii="仿宋_GB2312" w:cs="宋体"/>
                <w:color w:val="000000"/>
                <w:szCs w:val="32"/>
              </w:rPr>
              <w:t>特等2名，一等10名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6" w:type="dxa"/>
            <w:noWrap w:val="0"/>
            <w:vAlign w:val="center"/>
          </w:tcPr>
          <w:p>
            <w:pPr>
              <w:spacing w:line="520" w:lineRule="exact"/>
              <w:jc w:val="center"/>
              <w:rPr>
                <w:rFonts w:ascii="仿宋_GB2312" w:cs="宋体"/>
                <w:color w:val="000000"/>
                <w:szCs w:val="32"/>
              </w:rPr>
            </w:pPr>
            <w:r>
              <w:rPr>
                <w:rFonts w:hint="eastAsia" w:ascii="仿宋_GB2312" w:cs="宋体"/>
                <w:color w:val="000000"/>
                <w:szCs w:val="32"/>
              </w:rPr>
              <w:t>其他捐赠类奖学金</w:t>
            </w:r>
          </w:p>
        </w:tc>
        <w:tc>
          <w:tcPr>
            <w:tcW w:w="1965" w:type="dxa"/>
            <w:noWrap w:val="0"/>
            <w:vAlign w:val="center"/>
          </w:tcPr>
          <w:p>
            <w:pPr>
              <w:spacing w:line="520" w:lineRule="exact"/>
              <w:jc w:val="center"/>
              <w:rPr>
                <w:rFonts w:hint="eastAsia" w:ascii="仿宋_GB2312" w:cs="宋体"/>
                <w:color w:val="000000"/>
                <w:szCs w:val="32"/>
              </w:rPr>
            </w:pPr>
            <w:r>
              <w:rPr>
                <w:rFonts w:hint="eastAsia" w:ascii="仿宋_GB2312" w:cs="宋体"/>
                <w:color w:val="000000"/>
                <w:szCs w:val="32"/>
              </w:rPr>
              <w:t>根据有关协议</w:t>
            </w:r>
          </w:p>
        </w:tc>
        <w:tc>
          <w:tcPr>
            <w:tcW w:w="3139" w:type="dxa"/>
            <w:noWrap w:val="0"/>
            <w:vAlign w:val="center"/>
          </w:tcPr>
          <w:p>
            <w:pPr>
              <w:spacing w:line="520" w:lineRule="exact"/>
              <w:jc w:val="center"/>
              <w:rPr>
                <w:rFonts w:hint="eastAsia" w:ascii="仿宋_GB2312" w:cs="宋体"/>
                <w:color w:val="000000"/>
                <w:szCs w:val="32"/>
              </w:rPr>
            </w:pPr>
            <w:r>
              <w:rPr>
                <w:rFonts w:hint="eastAsia" w:ascii="仿宋_GB2312" w:cs="宋体"/>
                <w:color w:val="000000"/>
                <w:szCs w:val="32"/>
              </w:rPr>
              <w:t>根据学校分配</w:t>
            </w:r>
          </w:p>
        </w:tc>
      </w:tr>
    </w:tbl>
    <w:p>
      <w:pPr>
        <w:spacing w:line="520" w:lineRule="exact"/>
        <w:ind w:firstLine="420" w:firstLineChars="200"/>
        <w:rPr>
          <w:rFonts w:ascii="仿宋_GB2312" w:cs="宋体"/>
          <w:szCs w:val="32"/>
        </w:rPr>
      </w:pPr>
      <w:r>
        <w:rPr>
          <w:rFonts w:hint="eastAsia" w:ascii="仿宋_GB2312" w:cs="宋体"/>
          <w:color w:val="000000"/>
          <w:szCs w:val="32"/>
        </w:rPr>
        <w:t>捐赠奖学金类别、金额、获奖学生比例等相关事项的变动，每年由学生处与校友办、港澳台办沟通确认，具体以当年通知为准。</w:t>
      </w:r>
    </w:p>
    <w:p>
      <w:pPr>
        <w:spacing w:line="520" w:lineRule="exact"/>
        <w:jc w:val="center"/>
        <w:rPr>
          <w:rFonts w:eastAsia="黑体"/>
          <w:color w:val="000000"/>
          <w:szCs w:val="32"/>
        </w:rPr>
      </w:pPr>
      <w:r>
        <w:rPr>
          <w:rFonts w:hint="eastAsia" w:ascii="黑体" w:hAnsi="黑体" w:eastAsia="黑体" w:cs="黑体"/>
          <w:color w:val="000000"/>
          <w:szCs w:val="32"/>
        </w:rPr>
        <w:t>第三章 评选条件</w:t>
      </w:r>
    </w:p>
    <w:p>
      <w:pPr>
        <w:spacing w:line="520" w:lineRule="exact"/>
        <w:ind w:firstLine="420" w:firstLineChars="200"/>
        <w:rPr>
          <w:rFonts w:ascii="仿宋_GB2312" w:cs="宋体"/>
          <w:color w:val="000000"/>
          <w:szCs w:val="32"/>
        </w:rPr>
      </w:pPr>
      <w:r>
        <w:rPr>
          <w:rFonts w:hint="eastAsia" w:ascii="仿宋_GB2312" w:hAnsi="黑体" w:cs="黑体"/>
          <w:color w:val="000000"/>
          <w:szCs w:val="32"/>
        </w:rPr>
        <w:t>第四条</w:t>
      </w:r>
      <w:r>
        <w:rPr>
          <w:rFonts w:hint="eastAsia" w:ascii="仿宋_GB2312" w:cs="宋体"/>
          <w:color w:val="000000"/>
          <w:szCs w:val="32"/>
        </w:rPr>
        <w:t xml:space="preserve">  参加各类奖学金评选的学生必须具备以下基本条件： </w:t>
      </w:r>
    </w:p>
    <w:p>
      <w:pPr>
        <w:spacing w:line="520" w:lineRule="exact"/>
        <w:ind w:firstLine="420" w:firstLineChars="200"/>
        <w:rPr>
          <w:rFonts w:ascii="仿宋_GB2312" w:cs="宋体"/>
          <w:color w:val="000000"/>
          <w:szCs w:val="32"/>
        </w:rPr>
      </w:pPr>
      <w:r>
        <w:rPr>
          <w:rFonts w:hint="eastAsia" w:ascii="仿宋_GB2312" w:cs="宋体"/>
          <w:color w:val="000000"/>
          <w:szCs w:val="32"/>
        </w:rPr>
        <w:t>（一）热爱社会主义祖国，拥护中国共产党的领导；</w:t>
      </w:r>
    </w:p>
    <w:p>
      <w:pPr>
        <w:spacing w:line="520" w:lineRule="exact"/>
        <w:ind w:firstLine="420" w:firstLineChars="200"/>
        <w:rPr>
          <w:rFonts w:ascii="仿宋_GB2312" w:cs="宋体"/>
          <w:color w:val="000000"/>
          <w:szCs w:val="32"/>
        </w:rPr>
      </w:pPr>
      <w:r>
        <w:rPr>
          <w:rFonts w:hint="eastAsia" w:ascii="仿宋_GB2312" w:cs="宋体"/>
          <w:color w:val="000000"/>
          <w:szCs w:val="32"/>
        </w:rPr>
        <w:t xml:space="preserve">（二）自觉遵守国家法律，遵守各项校纪校规，无违纪违法行为，无警告以上处分； </w:t>
      </w:r>
    </w:p>
    <w:p>
      <w:pPr>
        <w:spacing w:line="520" w:lineRule="exact"/>
        <w:ind w:firstLine="420" w:firstLineChars="200"/>
        <w:rPr>
          <w:rFonts w:ascii="仿宋_GB2312" w:cs="宋体"/>
          <w:color w:val="000000"/>
          <w:szCs w:val="32"/>
        </w:rPr>
      </w:pPr>
      <w:r>
        <w:rPr>
          <w:rFonts w:hint="eastAsia" w:ascii="仿宋_GB2312" w:cs="宋体"/>
          <w:color w:val="000000"/>
          <w:szCs w:val="32"/>
        </w:rPr>
        <w:t>（三）积极参加体育锻炼，身体素质良好，《国家学生体质健康标准》达到良好以上等级（执行时间及免测学生参照《宁波大学国家学生体质健康标准实施办法》宁大政〔2020〕70号规定执行）；</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（四）本学年必修课</w:t>
      </w:r>
      <w:r>
        <w:rPr>
          <w:rFonts w:hint="eastAsia" w:ascii="仿宋_GB2312" w:cs="宋体"/>
          <w:color w:val="000000"/>
          <w:szCs w:val="32"/>
        </w:rPr>
        <w:t>（含模块必修课程）无不及格项；</w:t>
      </w:r>
    </w:p>
    <w:p>
      <w:pPr>
        <w:spacing w:line="520" w:lineRule="exact"/>
        <w:ind w:firstLine="420" w:firstLineChars="200"/>
        <w:rPr>
          <w:rFonts w:hint="eastAsia" w:ascii="仿宋_GB2312" w:cs="宋体"/>
          <w:color w:val="000000"/>
          <w:szCs w:val="32"/>
        </w:rPr>
      </w:pPr>
      <w:r>
        <w:rPr>
          <w:rFonts w:hint="eastAsia" w:ascii="仿宋_GB2312" w:hAnsi="黑体" w:cs="黑体"/>
          <w:color w:val="000000"/>
          <w:szCs w:val="32"/>
        </w:rPr>
        <w:t>（五）</w:t>
      </w:r>
      <w:r>
        <w:rPr>
          <w:rFonts w:hint="eastAsia" w:ascii="仿宋_GB2312" w:cs="宋体"/>
          <w:color w:val="000000"/>
          <w:szCs w:val="32"/>
        </w:rPr>
        <w:t>本学年非学业因素评价指标无不合格等级（低于60分）。</w:t>
      </w:r>
    </w:p>
    <w:p>
      <w:pPr>
        <w:spacing w:line="520" w:lineRule="exact"/>
        <w:ind w:firstLine="420" w:firstLineChars="200"/>
        <w:rPr>
          <w:rFonts w:ascii="仿宋_GB2312" w:cs="宋体"/>
          <w:color w:val="000000"/>
          <w:szCs w:val="32"/>
        </w:rPr>
      </w:pPr>
      <w:r>
        <w:rPr>
          <w:rFonts w:hint="eastAsia" w:ascii="仿宋_GB2312" w:cs="宋体"/>
          <w:color w:val="000000"/>
          <w:szCs w:val="32"/>
        </w:rPr>
        <w:t>校长奖学金不受本条（三）、（四）、（五）款限制。</w:t>
      </w:r>
    </w:p>
    <w:p>
      <w:pPr>
        <w:numPr>
          <w:ilvl w:val="0"/>
          <w:numId w:val="1"/>
        </w:numPr>
        <w:spacing w:line="520" w:lineRule="exact"/>
        <w:ind w:firstLine="420" w:firstLineChars="200"/>
      </w:pPr>
      <w:r>
        <w:rPr>
          <w:rFonts w:hint="eastAsia" w:ascii="仿宋_GB2312" w:hAnsi="黑体" w:cs="黑体"/>
          <w:color w:val="000000"/>
          <w:szCs w:val="32"/>
        </w:rPr>
        <w:t xml:space="preserve"> 与国内外其他高校交换（联合）培养的学生，需根据《宁波大</w:t>
      </w:r>
      <w:r>
        <w:rPr>
          <w:rFonts w:hint="eastAsia" w:ascii="仿宋_GB2312" w:cs="宋体"/>
          <w:color w:val="000000"/>
          <w:szCs w:val="32"/>
        </w:rPr>
        <w:t>学本、专科学生课程顶替与学分认定管理办法》（宁大政〔2013〕95号文件），申请课程顶替或学分认定，并经过</w:t>
      </w:r>
      <w:r>
        <w:rPr>
          <w:rFonts w:hint="eastAsia" w:ascii="仿宋_GB2312" w:hAnsi="黑体" w:cs="黑体"/>
          <w:color w:val="000000"/>
          <w:szCs w:val="32"/>
        </w:rPr>
        <w:t>学院奖学金评审领导小组</w:t>
      </w:r>
      <w:r>
        <w:rPr>
          <w:rFonts w:hint="eastAsia" w:ascii="仿宋_GB2312" w:cs="宋体"/>
          <w:color w:val="000000"/>
          <w:szCs w:val="32"/>
        </w:rPr>
        <w:t>审核通过方可参评该学年各类奖学金。学年内有休学经历的学生根据教务处的成绩认定情况及</w:t>
      </w:r>
      <w:r>
        <w:rPr>
          <w:rFonts w:hint="eastAsia" w:ascii="仿宋_GB2312" w:hAnsi="黑体" w:cs="黑体"/>
          <w:color w:val="000000"/>
          <w:szCs w:val="32"/>
        </w:rPr>
        <w:t>学院奖学金评审领导小组</w:t>
      </w:r>
      <w:r>
        <w:rPr>
          <w:rFonts w:hint="eastAsia" w:ascii="仿宋_GB2312" w:cs="宋体"/>
          <w:color w:val="000000"/>
          <w:szCs w:val="32"/>
        </w:rPr>
        <w:t>审核通过方可参评该学年各类</w:t>
      </w:r>
      <w:r>
        <w:rPr>
          <w:rFonts w:hint="eastAsia" w:ascii="仿宋_GB2312" w:cs="宋体"/>
          <w:szCs w:val="32"/>
        </w:rPr>
        <w:t>奖学金。</w:t>
      </w:r>
    </w:p>
    <w:p>
      <w:pPr>
        <w:spacing w:line="520" w:lineRule="exact"/>
        <w:ind w:firstLine="420" w:firstLineChars="200"/>
        <w:rPr>
          <w:rFonts w:hint="eastAsia" w:ascii="仿宋_GB2312" w:cs="宋体"/>
          <w:szCs w:val="32"/>
        </w:rPr>
      </w:pPr>
      <w:r>
        <w:rPr>
          <w:rFonts w:hint="eastAsia" w:ascii="仿宋_GB2312" w:cs="宋体"/>
          <w:szCs w:val="32"/>
        </w:rPr>
        <w:t>转专业的学生回原就读专业参评该学年各类奖学金。</w:t>
      </w:r>
    </w:p>
    <w:p>
      <w:pPr>
        <w:spacing w:line="520" w:lineRule="exact"/>
        <w:ind w:firstLine="420" w:firstLineChars="200"/>
        <w:rPr>
          <w:rFonts w:hint="eastAsia" w:ascii="仿宋_GB2312" w:hAnsi="黑体" w:cs="黑体"/>
          <w:szCs w:val="32"/>
        </w:rPr>
      </w:pPr>
      <w:r>
        <w:rPr>
          <w:rFonts w:hint="eastAsia" w:ascii="仿宋_GB2312" w:hAnsi="黑体" w:cs="黑体"/>
          <w:szCs w:val="32"/>
        </w:rPr>
        <w:t>第六条  国家类奖学金评选条件（相关评比细则需以上级部门当年发布的细则为准）</w:t>
      </w:r>
    </w:p>
    <w:p>
      <w:pPr>
        <w:spacing w:line="520" w:lineRule="exact"/>
        <w:ind w:firstLine="420" w:firstLineChars="200"/>
        <w:rPr>
          <w:rFonts w:ascii="仿宋_GB2312" w:cs="宋体"/>
          <w:szCs w:val="32"/>
        </w:rPr>
      </w:pPr>
      <w:r>
        <w:rPr>
          <w:rFonts w:hint="eastAsia" w:ascii="仿宋_GB2312" w:hAnsi="黑体" w:cs="黑体"/>
          <w:szCs w:val="32"/>
        </w:rPr>
        <w:t>（一）国家奖学金评选条件</w:t>
      </w:r>
    </w:p>
    <w:p>
      <w:pPr>
        <w:spacing w:line="520" w:lineRule="exact"/>
        <w:ind w:firstLine="420" w:firstLineChars="200"/>
        <w:rPr>
          <w:rFonts w:ascii="仿宋_GB2312" w:cs="宋体"/>
          <w:szCs w:val="32"/>
        </w:rPr>
      </w:pPr>
      <w:r>
        <w:rPr>
          <w:rFonts w:hint="eastAsia" w:ascii="仿宋_GB2312" w:cs="宋体"/>
          <w:szCs w:val="32"/>
        </w:rPr>
        <w:t>1.本学年学习成绩优异，综合排名在同专业年级前10%；</w:t>
      </w:r>
    </w:p>
    <w:p>
      <w:pPr>
        <w:spacing w:line="520" w:lineRule="exact"/>
        <w:ind w:firstLine="420" w:firstLineChars="200"/>
        <w:rPr>
          <w:rFonts w:ascii="仿宋_GB2312" w:cs="宋体"/>
          <w:szCs w:val="32"/>
        </w:rPr>
      </w:pPr>
      <w:r>
        <w:rPr>
          <w:rFonts w:hint="eastAsia" w:ascii="仿宋_GB2312" w:cs="宋体"/>
          <w:szCs w:val="32"/>
        </w:rPr>
        <w:t>2.对于本学年综合排名没有进入前10%，但达到前30%的学生，如在其他方面表现非常突出，可申请国家奖学金，但需提交详细的证明材料。</w:t>
      </w:r>
    </w:p>
    <w:p>
      <w:pPr>
        <w:spacing w:line="520" w:lineRule="exact"/>
        <w:ind w:firstLine="420" w:firstLineChars="200"/>
        <w:rPr>
          <w:rFonts w:hint="eastAsia" w:ascii="仿宋_GB2312" w:cs="宋体"/>
          <w:szCs w:val="32"/>
        </w:rPr>
      </w:pPr>
      <w:r>
        <w:rPr>
          <w:rFonts w:hint="eastAsia" w:ascii="仿宋_GB2312" w:cs="宋体"/>
          <w:szCs w:val="32"/>
        </w:rPr>
        <w:t>其他方面表现非常突出是指在道德风尚、学术研究、学科竞赛、创新发明、社会实践、社会工作、体育竞赛、文艺比赛等某一方面表现特别优秀。</w:t>
      </w:r>
    </w:p>
    <w:p>
      <w:pPr>
        <w:spacing w:line="520" w:lineRule="exact"/>
        <w:ind w:firstLine="420" w:firstLineChars="200"/>
        <w:rPr>
          <w:rFonts w:ascii="仿宋_GB2312" w:hAnsi="黑体" w:cs="黑体"/>
          <w:szCs w:val="32"/>
        </w:rPr>
      </w:pPr>
      <w:r>
        <w:rPr>
          <w:rFonts w:hint="eastAsia" w:ascii="仿宋_GB2312" w:hAnsi="黑体" w:cs="黑体"/>
          <w:szCs w:val="32"/>
        </w:rPr>
        <w:t>（二）国家励志奖学金评选条件</w:t>
      </w:r>
    </w:p>
    <w:p>
      <w:pPr>
        <w:spacing w:line="520" w:lineRule="exact"/>
        <w:ind w:firstLine="420" w:firstLineChars="200"/>
        <w:rPr>
          <w:rFonts w:ascii="仿宋_GB2312" w:cs="宋体"/>
          <w:szCs w:val="32"/>
        </w:rPr>
      </w:pPr>
      <w:r>
        <w:rPr>
          <w:rFonts w:hint="eastAsia" w:ascii="仿宋_GB2312" w:cs="宋体"/>
          <w:szCs w:val="32"/>
        </w:rPr>
        <w:t>1.国家励志奖学金用于奖励资助我校品学兼优的学生资助对象；</w:t>
      </w:r>
    </w:p>
    <w:p>
      <w:pPr>
        <w:spacing w:line="520" w:lineRule="exact"/>
        <w:ind w:firstLine="420" w:firstLineChars="200"/>
        <w:rPr>
          <w:rFonts w:ascii="仿宋_GB2312" w:cs="宋体"/>
          <w:szCs w:val="32"/>
        </w:rPr>
      </w:pPr>
      <w:r>
        <w:rPr>
          <w:rFonts w:hint="eastAsia" w:ascii="仿宋_GB2312" w:cs="宋体"/>
          <w:szCs w:val="32"/>
        </w:rPr>
        <w:t>2.本学年学习成绩优良，综合排名在同专业年级前40％；</w:t>
      </w:r>
    </w:p>
    <w:p>
      <w:pPr>
        <w:spacing w:line="520" w:lineRule="exact"/>
        <w:ind w:firstLine="420" w:firstLineChars="200"/>
        <w:rPr>
          <w:rFonts w:ascii="仿宋_GB2312" w:cs="宋体"/>
          <w:szCs w:val="32"/>
        </w:rPr>
      </w:pPr>
      <w:r>
        <w:rPr>
          <w:rFonts w:hint="eastAsia" w:ascii="仿宋_GB2312" w:cs="宋体"/>
          <w:szCs w:val="32"/>
        </w:rPr>
        <w:t>3.诚实守信、生活俭朴；</w:t>
      </w:r>
    </w:p>
    <w:p>
      <w:pPr>
        <w:spacing w:line="520" w:lineRule="exact"/>
        <w:ind w:firstLine="420" w:firstLineChars="200"/>
        <w:rPr>
          <w:rFonts w:ascii="仿宋_GB2312" w:cs="宋体"/>
          <w:szCs w:val="32"/>
        </w:rPr>
      </w:pPr>
      <w:r>
        <w:rPr>
          <w:rFonts w:hint="eastAsia" w:ascii="仿宋_GB2312" w:cs="宋体"/>
          <w:szCs w:val="32"/>
        </w:rPr>
        <w:t>4.同等条件下，家庭经济困难大者优先。</w:t>
      </w:r>
    </w:p>
    <w:p>
      <w:pPr>
        <w:spacing w:line="520" w:lineRule="exact"/>
        <w:ind w:firstLine="420" w:firstLineChars="200"/>
        <w:jc w:val="left"/>
        <w:rPr>
          <w:rFonts w:ascii="仿宋_GB2312" w:cs="宋体"/>
          <w:szCs w:val="32"/>
        </w:rPr>
      </w:pPr>
      <w:r>
        <w:rPr>
          <w:rFonts w:hint="eastAsia" w:ascii="仿宋_GB2312" w:hAnsi="黑体" w:cs="黑体"/>
          <w:szCs w:val="32"/>
        </w:rPr>
        <w:t>第七条  省政府奖学金评选条件（相关评比细则需以上级部门当年发布的细则为准）</w:t>
      </w:r>
    </w:p>
    <w:p>
      <w:pPr>
        <w:spacing w:line="520" w:lineRule="exact"/>
        <w:ind w:firstLine="420" w:firstLineChars="200"/>
        <w:jc w:val="left"/>
        <w:rPr>
          <w:rFonts w:ascii="仿宋_GB2312" w:cs="宋体"/>
          <w:szCs w:val="32"/>
        </w:rPr>
      </w:pPr>
      <w:r>
        <w:rPr>
          <w:rFonts w:hint="eastAsia" w:ascii="仿宋_GB2312" w:cs="宋体"/>
          <w:szCs w:val="32"/>
        </w:rPr>
        <w:t>1.本学年学习成绩优异，综合排名在同专业年级前10%；</w:t>
      </w:r>
    </w:p>
    <w:p>
      <w:pPr>
        <w:spacing w:line="520" w:lineRule="exact"/>
        <w:ind w:firstLine="420" w:firstLineChars="200"/>
        <w:jc w:val="left"/>
        <w:rPr>
          <w:rFonts w:ascii="仿宋_GB2312" w:cs="宋体"/>
          <w:szCs w:val="32"/>
        </w:rPr>
      </w:pPr>
      <w:r>
        <w:rPr>
          <w:rFonts w:hint="eastAsia" w:ascii="仿宋_GB2312" w:cs="宋体"/>
          <w:szCs w:val="32"/>
        </w:rPr>
        <w:t>2.对于本学年综合排名没有进入前10%，但达到前30%的学生，如在其他方面表现非常突出，可申请省政府奖学金，但需提交详细的证明材料。</w:t>
      </w:r>
    </w:p>
    <w:p>
      <w:pPr>
        <w:spacing w:line="520" w:lineRule="exact"/>
        <w:ind w:firstLine="420" w:firstLineChars="200"/>
        <w:jc w:val="left"/>
        <w:rPr>
          <w:rFonts w:hint="eastAsia" w:ascii="仿宋_GB2312" w:cs="宋体"/>
          <w:szCs w:val="32"/>
        </w:rPr>
      </w:pPr>
      <w:r>
        <w:rPr>
          <w:rFonts w:hint="eastAsia" w:ascii="仿宋_GB2312" w:cs="宋体"/>
          <w:szCs w:val="32"/>
        </w:rPr>
        <w:t>其他方面表现非常突出是指在道德风尚、学术研究、学科竞赛、创新发明、社会实践、社会工作、体育竞赛、文艺比赛等某一方面表现特别优秀。</w:t>
      </w:r>
    </w:p>
    <w:p>
      <w:pPr>
        <w:spacing w:line="520" w:lineRule="exact"/>
        <w:ind w:firstLine="420" w:firstLineChars="200"/>
        <w:rPr>
          <w:rFonts w:ascii="仿宋_GB2312" w:hAnsi="黑体" w:cs="黑体"/>
          <w:szCs w:val="32"/>
        </w:rPr>
      </w:pPr>
      <w:r>
        <w:rPr>
          <w:rFonts w:hint="eastAsia" w:ascii="仿宋_GB2312" w:hAnsi="黑体" w:cs="黑体"/>
          <w:szCs w:val="32"/>
        </w:rPr>
        <w:t>第八条  学校奖学金评选条件</w:t>
      </w:r>
    </w:p>
    <w:p>
      <w:pPr>
        <w:spacing w:line="520" w:lineRule="exact"/>
        <w:ind w:firstLine="420" w:firstLineChars="200"/>
        <w:outlineLvl w:val="0"/>
        <w:rPr>
          <w:rFonts w:ascii="仿宋_GB2312" w:hAnsi="黑体" w:cs="黑体"/>
          <w:szCs w:val="32"/>
        </w:rPr>
      </w:pPr>
      <w:r>
        <w:rPr>
          <w:rFonts w:hint="eastAsia" w:ascii="仿宋_GB2312" w:hAnsi="黑体" w:cs="黑体"/>
          <w:szCs w:val="32"/>
        </w:rPr>
        <w:t>（一）校长奖学金</w:t>
      </w:r>
    </w:p>
    <w:p>
      <w:pPr>
        <w:spacing w:line="520" w:lineRule="exact"/>
        <w:ind w:firstLine="420" w:firstLineChars="200"/>
        <w:rPr>
          <w:rFonts w:hint="eastAsia" w:ascii="仿宋_GB2312" w:hAnsi="黑体" w:cs="黑体"/>
          <w:szCs w:val="32"/>
        </w:rPr>
      </w:pPr>
      <w:r>
        <w:rPr>
          <w:rFonts w:hint="eastAsia" w:ascii="仿宋_GB2312" w:hAnsi="黑体" w:cs="黑体"/>
          <w:szCs w:val="32"/>
        </w:rPr>
        <w:t>符合下列条件之一：</w:t>
      </w:r>
    </w:p>
    <w:p>
      <w:pPr>
        <w:numPr>
          <w:ilvl w:val="0"/>
          <w:numId w:val="2"/>
        </w:numPr>
        <w:spacing w:line="520" w:lineRule="exact"/>
        <w:ind w:firstLine="420" w:firstLineChars="200"/>
        <w:rPr>
          <w:rFonts w:hint="eastAsia" w:ascii="仿宋_GB2312" w:cs="宋体"/>
          <w:szCs w:val="32"/>
        </w:rPr>
      </w:pPr>
      <w:r>
        <w:rPr>
          <w:rFonts w:hint="eastAsia" w:ascii="仿宋_GB2312" w:cs="宋体"/>
          <w:szCs w:val="32"/>
        </w:rPr>
        <w:t>本学年在道德风尚、社会实践、社会公益、学术研究等某一方面表现特别优秀，为学校赢得突出荣誉，为社会或学校做出突出贡献。</w:t>
      </w:r>
    </w:p>
    <w:p>
      <w:pPr>
        <w:spacing w:line="520" w:lineRule="exact"/>
        <w:ind w:firstLine="420" w:firstLineChars="200"/>
        <w:rPr>
          <w:rFonts w:hint="eastAsia" w:ascii="仿宋_GB2312" w:cs="宋体"/>
          <w:szCs w:val="32"/>
        </w:rPr>
      </w:pPr>
      <w:r>
        <w:rPr>
          <w:rFonts w:hint="eastAsia" w:ascii="仿宋_GB2312" w:cs="宋体"/>
          <w:szCs w:val="32"/>
        </w:rPr>
        <w:t>2.本学年符合特等奖学金条件。</w:t>
      </w:r>
    </w:p>
    <w:p>
      <w:pPr>
        <w:spacing w:line="520" w:lineRule="exact"/>
        <w:ind w:firstLine="420" w:firstLineChars="200"/>
        <w:outlineLvl w:val="0"/>
        <w:rPr>
          <w:rFonts w:ascii="仿宋_GB2312" w:hAnsi="黑体" w:cs="黑体"/>
          <w:szCs w:val="32"/>
        </w:rPr>
      </w:pPr>
      <w:r>
        <w:rPr>
          <w:rFonts w:hint="eastAsia" w:ascii="仿宋_GB2312" w:hAnsi="黑体" w:cs="黑体"/>
          <w:szCs w:val="32"/>
        </w:rPr>
        <w:t>（二）特等奖学金（含同等级的方逸华奖学金）</w:t>
      </w:r>
    </w:p>
    <w:p>
      <w:pPr>
        <w:spacing w:line="520" w:lineRule="exact"/>
        <w:ind w:firstLine="420" w:firstLineChars="200"/>
        <w:rPr>
          <w:rFonts w:ascii="仿宋_GB2312" w:hAnsi="黑体" w:cs="黑体"/>
          <w:szCs w:val="32"/>
        </w:rPr>
      </w:pPr>
      <w:r>
        <w:rPr>
          <w:rFonts w:hint="eastAsia" w:ascii="仿宋_GB2312" w:hAnsi="黑体" w:cs="黑体"/>
          <w:szCs w:val="32"/>
        </w:rPr>
        <w:t>本学年综合排名名次在同专业年级前12%。</w:t>
      </w:r>
    </w:p>
    <w:p>
      <w:pPr>
        <w:spacing w:line="520" w:lineRule="exact"/>
        <w:ind w:firstLine="420" w:firstLineChars="200"/>
        <w:outlineLvl w:val="0"/>
        <w:rPr>
          <w:rFonts w:ascii="仿宋_GB2312" w:hAnsi="黑体" w:cs="黑体"/>
          <w:szCs w:val="32"/>
        </w:rPr>
      </w:pPr>
      <w:r>
        <w:rPr>
          <w:rFonts w:hint="eastAsia" w:ascii="仿宋_GB2312" w:hAnsi="黑体" w:cs="黑体"/>
          <w:szCs w:val="32"/>
        </w:rPr>
        <w:t>（三）一等奖学金（含同等级的捐赠奖学金）</w:t>
      </w:r>
    </w:p>
    <w:p>
      <w:pPr>
        <w:spacing w:line="520" w:lineRule="exact"/>
        <w:ind w:firstLine="420" w:firstLineChars="200"/>
        <w:rPr>
          <w:rFonts w:ascii="仿宋_GB2312" w:cs="宋体"/>
          <w:szCs w:val="32"/>
        </w:rPr>
      </w:pPr>
      <w:r>
        <w:rPr>
          <w:rFonts w:hint="eastAsia" w:ascii="仿宋_GB2312" w:cs="宋体"/>
          <w:szCs w:val="32"/>
        </w:rPr>
        <w:t>本学年综合排名名次在同专业年级前15%。</w:t>
      </w:r>
    </w:p>
    <w:p>
      <w:pPr>
        <w:numPr>
          <w:ilvl w:val="0"/>
          <w:numId w:val="3"/>
        </w:numPr>
        <w:spacing w:line="520" w:lineRule="exact"/>
        <w:ind w:firstLine="420" w:firstLineChars="200"/>
        <w:rPr>
          <w:rFonts w:hint="eastAsia" w:ascii="仿宋_GB2312" w:hAnsi="黑体" w:cs="黑体"/>
          <w:szCs w:val="32"/>
        </w:rPr>
      </w:pPr>
      <w:r>
        <w:rPr>
          <w:rFonts w:hint="eastAsia" w:ascii="仿宋_GB2312" w:hAnsi="黑体" w:cs="黑体"/>
          <w:szCs w:val="32"/>
        </w:rPr>
        <w:t>二等奖学金</w:t>
      </w:r>
    </w:p>
    <w:p>
      <w:pPr>
        <w:spacing w:line="520" w:lineRule="exact"/>
        <w:ind w:firstLine="420" w:firstLineChars="200"/>
        <w:rPr>
          <w:rFonts w:ascii="仿宋_GB2312" w:cs="宋体"/>
          <w:szCs w:val="32"/>
        </w:rPr>
      </w:pPr>
      <w:r>
        <w:rPr>
          <w:rFonts w:hint="eastAsia" w:ascii="仿宋_GB2312" w:hAnsi="黑体" w:cs="黑体"/>
          <w:szCs w:val="32"/>
        </w:rPr>
        <w:t>学习本学年综合排名名次在</w:t>
      </w:r>
      <w:r>
        <w:rPr>
          <w:rFonts w:hint="eastAsia" w:ascii="仿宋_GB2312" w:cs="宋体"/>
          <w:szCs w:val="32"/>
        </w:rPr>
        <w:t>同专业年级前25%。</w:t>
      </w:r>
    </w:p>
    <w:p>
      <w:pPr>
        <w:spacing w:line="520" w:lineRule="exact"/>
        <w:ind w:firstLine="420" w:firstLineChars="200"/>
        <w:rPr>
          <w:rFonts w:ascii="仿宋_GB2312" w:hAnsi="黑体" w:cs="黑体"/>
          <w:szCs w:val="32"/>
        </w:rPr>
      </w:pPr>
      <w:r>
        <w:rPr>
          <w:rFonts w:hint="eastAsia" w:ascii="仿宋_GB2312" w:hAnsi="黑体" w:cs="黑体"/>
          <w:szCs w:val="32"/>
        </w:rPr>
        <w:t>（五）三等奖学金</w:t>
      </w:r>
    </w:p>
    <w:p>
      <w:pPr>
        <w:spacing w:line="520" w:lineRule="exact"/>
        <w:ind w:firstLine="420" w:firstLineChars="200"/>
        <w:rPr>
          <w:rFonts w:hint="eastAsia" w:ascii="仿宋_GB2312" w:hAnsi="黑体" w:cs="黑体"/>
          <w:szCs w:val="32"/>
        </w:rPr>
      </w:pPr>
      <w:r>
        <w:rPr>
          <w:rFonts w:hint="eastAsia" w:ascii="仿宋_GB2312" w:hAnsi="黑体" w:cs="黑体"/>
          <w:szCs w:val="32"/>
        </w:rPr>
        <w:t>本学年综合排名名次在同专业年级前40％。</w:t>
      </w:r>
    </w:p>
    <w:p>
      <w:pPr>
        <w:spacing w:line="520" w:lineRule="exact"/>
        <w:ind w:firstLine="420" w:firstLineChars="200"/>
        <w:rPr>
          <w:rFonts w:ascii="仿宋_GB2312" w:hAnsi="黑体" w:cs="黑体"/>
          <w:szCs w:val="32"/>
        </w:rPr>
      </w:pPr>
      <w:r>
        <w:rPr>
          <w:rFonts w:hint="eastAsia" w:ascii="仿宋_GB2312" w:hAnsi="黑体" w:cs="黑体"/>
          <w:szCs w:val="32"/>
        </w:rPr>
        <w:t>第九条</w:t>
      </w:r>
      <w:r>
        <w:rPr>
          <w:rFonts w:ascii="仿宋_GB2312" w:hAnsi="黑体" w:cs="黑体"/>
          <w:szCs w:val="32"/>
        </w:rPr>
        <w:t xml:space="preserve">  </w:t>
      </w:r>
      <w:r>
        <w:rPr>
          <w:rFonts w:hint="eastAsia" w:ascii="仿宋_GB2312" w:hAnsi="黑体" w:cs="黑体"/>
          <w:szCs w:val="32"/>
        </w:rPr>
        <w:t>捐赠奖学金其他评选条件</w:t>
      </w:r>
    </w:p>
    <w:p>
      <w:pPr>
        <w:spacing w:line="520" w:lineRule="exact"/>
        <w:ind w:firstLine="420" w:firstLineChars="200"/>
        <w:rPr>
          <w:rFonts w:ascii="仿宋_GB2312" w:hAnsi="黑体" w:cs="黑体"/>
          <w:szCs w:val="32"/>
        </w:rPr>
      </w:pPr>
      <w:r>
        <w:rPr>
          <w:rFonts w:hint="eastAsia" w:ascii="仿宋_GB2312" w:hAnsi="黑体" w:cs="黑体"/>
          <w:szCs w:val="32"/>
        </w:rPr>
        <w:t>（一）绣山清寒优秀学生奖学金：除按学校一等奖学金标准评选外，面向本科学生资助对象。同等条件下，家庭经济困难大者优先。</w:t>
      </w:r>
    </w:p>
    <w:p>
      <w:pPr>
        <w:spacing w:line="520" w:lineRule="exact"/>
        <w:ind w:firstLine="420" w:firstLineChars="200"/>
        <w:rPr>
          <w:rFonts w:ascii="仿宋_GB2312" w:cs="宋体"/>
          <w:szCs w:val="32"/>
        </w:rPr>
      </w:pPr>
      <w:r>
        <w:rPr>
          <w:rFonts w:hint="eastAsia" w:ascii="仿宋_GB2312" w:hAnsi="黑体" w:cs="黑体"/>
          <w:szCs w:val="32"/>
        </w:rPr>
        <w:t>（二）绣山清寒新生奖学金：第一志愿考入宁波大学的本科生或考入宁波大学的研究生；学生资助对象；</w:t>
      </w:r>
      <w:r>
        <w:rPr>
          <w:rFonts w:hint="eastAsia" w:ascii="仿宋_GB2312" w:cs="宋体"/>
          <w:szCs w:val="32"/>
        </w:rPr>
        <w:t>同等条件下，高分者优先。</w:t>
      </w:r>
    </w:p>
    <w:p>
      <w:pPr>
        <w:spacing w:line="520" w:lineRule="exact"/>
        <w:ind w:firstLine="420" w:firstLineChars="200"/>
        <w:rPr>
          <w:rFonts w:ascii="仿宋_GB2312" w:hAnsi="黑体" w:cs="黑体"/>
          <w:szCs w:val="32"/>
        </w:rPr>
      </w:pPr>
      <w:r>
        <w:rPr>
          <w:rFonts w:hint="eastAsia" w:ascii="仿宋_GB2312" w:hAnsi="黑体" w:cs="黑体"/>
          <w:szCs w:val="32"/>
        </w:rPr>
        <w:t>（三）绣山清寒考研学生奖学金：取得当年研究生入学资格并注册入学；面向本科学生资助对象；同等条件下，家庭经济困难大者优先。</w:t>
      </w:r>
    </w:p>
    <w:p>
      <w:pPr>
        <w:spacing w:line="520" w:lineRule="exact"/>
        <w:ind w:firstLine="420" w:firstLineChars="200"/>
        <w:rPr>
          <w:rFonts w:ascii="仿宋_GB2312" w:hAnsi="黑体" w:cs="黑体"/>
          <w:szCs w:val="32"/>
        </w:rPr>
      </w:pPr>
      <w:r>
        <w:rPr>
          <w:rFonts w:hint="eastAsia" w:ascii="仿宋_GB2312" w:hAnsi="黑体" w:cs="黑体"/>
          <w:szCs w:val="32"/>
        </w:rPr>
        <w:t>（四）阿尔卑斯阿尔派奖学金：除按学校一等奖学金标准评选外，面向机械设计制造及其自动化、电子信息科学与技术、物理学、电气信息类等专业的学生。</w:t>
      </w:r>
    </w:p>
    <w:p>
      <w:pPr>
        <w:spacing w:line="520" w:lineRule="exact"/>
        <w:ind w:firstLine="420" w:firstLineChars="200"/>
        <w:rPr>
          <w:rFonts w:ascii="仿宋_GB2312" w:hAnsi="黑体" w:cs="黑体"/>
          <w:szCs w:val="32"/>
        </w:rPr>
      </w:pPr>
      <w:r>
        <w:rPr>
          <w:rFonts w:hint="eastAsia" w:ascii="仿宋_GB2312" w:hAnsi="黑体" w:cs="黑体"/>
          <w:szCs w:val="32"/>
        </w:rPr>
        <w:t>（五）福建商会奖学金：1.在校在读闽籍学子（休学、退学以及实习、工作学子不含在内）；2. 符合宁波大学特等奖学金或一等奖学金条件；3. 符合条件的学子仍旧可以参与宁波大学校内奖学金的评选。</w:t>
      </w:r>
    </w:p>
    <w:p>
      <w:pPr>
        <w:spacing w:line="520" w:lineRule="exact"/>
        <w:ind w:firstLine="420" w:firstLineChars="200"/>
        <w:rPr>
          <w:rFonts w:hint="eastAsia" w:ascii="仿宋_GB2312" w:hAnsi="黑体" w:cs="黑体"/>
          <w:szCs w:val="32"/>
          <w:highlight w:val="yellow"/>
        </w:rPr>
      </w:pPr>
      <w:r>
        <w:rPr>
          <w:rFonts w:hint="eastAsia" w:ascii="仿宋_GB2312" w:hAnsi="黑体" w:cs="黑体"/>
          <w:szCs w:val="32"/>
        </w:rPr>
        <w:t>第十条  学院兼顾学生全面发展，体现相对合理性，采取量化赋分的综合考评方式。</w:t>
      </w:r>
      <w:r>
        <w:rPr>
          <w:rFonts w:hint="eastAsia" w:ascii="仿宋_GB2312" w:hAnsi="黑体" w:cs="黑体"/>
          <w:szCs w:val="32"/>
          <w:highlight w:val="yellow"/>
        </w:rPr>
        <w:t>综合考评满分为100分，其中，学习成绩权重占比60%，创新创业及其他专业素养权重占比20%，非学业因素权重占比20%。综合成绩和各项成绩的计算方法如下：</w:t>
      </w:r>
    </w:p>
    <w:p>
      <w:pPr>
        <w:jc w:val="center"/>
        <w:rPr>
          <w:highlight w:val="yellow"/>
        </w:rPr>
      </w:pPr>
    </w:p>
    <w:p>
      <w:pPr>
        <w:jc w:val="left"/>
      </w:pPr>
      <w:r>
        <w:rPr>
          <w:rFonts w:hint="eastAsia"/>
          <w:highlight w:val="yellow"/>
        </w:rPr>
        <w:t>（一）综合成绩=学业成绩*60%+创新创业成绩*20%+非学业因素总评分*20%</w:t>
      </w:r>
    </w:p>
    <w:p/>
    <w:p>
      <w:pPr>
        <w:rPr>
          <w:rFonts w:ascii="黑体" w:hAnsi="宋体" w:eastAsia="黑体"/>
          <w:bCs/>
          <w:i/>
          <w:sz w:val="24"/>
          <w:highlight w:val="yellow"/>
        </w:rPr>
      </w:pPr>
      <w:r>
        <w:rPr>
          <w:rFonts w:hint="eastAsia"/>
          <w:highlight w:val="yellow"/>
        </w:rPr>
        <w:t>（二）学业成绩=</w:t>
      </w:r>
      <w:r>
        <w:rPr>
          <w:rFonts w:hint="eastAsia" w:ascii="黑体" w:hAnsi="宋体" w:eastAsia="黑体"/>
          <w:bCs/>
          <w:i/>
          <w:sz w:val="24"/>
          <w:highlight w:val="yellow"/>
        </w:rPr>
        <w:t xml:space="preserve">100 - </w:t>
      </w:r>
      <w:r>
        <w:rPr>
          <w:rFonts w:hint="eastAsia" w:ascii="黑体" w:hAnsi="宋体" w:eastAsia="黑体"/>
          <w:bCs/>
          <w:i/>
          <w:position w:val="-26"/>
          <w:sz w:val="24"/>
          <w:highlight w:val="yellow"/>
        </w:rPr>
        <w:object>
          <v:shape id="_x0000_i1025" o:spt="75" type="#_x0000_t75" style="height:35.5pt;width:97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p>
    <w:p>
      <w:pPr>
        <w:rPr>
          <w:rFonts w:ascii="黑体" w:hAnsi="宋体" w:eastAsia="黑体"/>
          <w:bCs/>
          <w:sz w:val="24"/>
          <w:highlight w:val="yellow"/>
        </w:rPr>
      </w:pPr>
    </w:p>
    <w:p>
      <w:r>
        <w:rPr>
          <w:rFonts w:hint="eastAsia"/>
          <w:highlight w:val="yellow"/>
        </w:rPr>
        <w:t>（三）创新创业成绩=获得以下创新创业类赋分总和/本</w:t>
      </w:r>
      <w:r>
        <w:rPr>
          <w:rFonts w:hint="eastAsia"/>
          <w:highlight w:val="yellow"/>
          <w:lang w:val="en-US" w:eastAsia="zh-CN"/>
        </w:rPr>
        <w:t>学院本年级本专业</w:t>
      </w:r>
      <w:r>
        <w:rPr>
          <w:rFonts w:hint="eastAsia"/>
          <w:highlight w:val="yellow"/>
        </w:rPr>
        <w:t>最高分*100</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05"/>
        <w:gridCol w:w="2912"/>
        <w:gridCol w:w="2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noWrap w:val="0"/>
            <w:vAlign w:val="center"/>
          </w:tcPr>
          <w:p>
            <w:pPr>
              <w:jc w:val="center"/>
            </w:pPr>
            <w:r>
              <w:rPr>
                <w:rFonts w:hint="eastAsia"/>
              </w:rPr>
              <w:t>类别</w:t>
            </w:r>
          </w:p>
        </w:tc>
        <w:tc>
          <w:tcPr>
            <w:tcW w:w="2912" w:type="dxa"/>
            <w:noWrap w:val="0"/>
            <w:vAlign w:val="center"/>
          </w:tcPr>
          <w:p>
            <w:pPr>
              <w:jc w:val="center"/>
            </w:pPr>
            <w:r>
              <w:rPr>
                <w:rFonts w:hint="eastAsia"/>
              </w:rPr>
              <w:t>内容</w:t>
            </w:r>
          </w:p>
        </w:tc>
        <w:tc>
          <w:tcPr>
            <w:tcW w:w="2805" w:type="dxa"/>
            <w:noWrap w:val="0"/>
            <w:vAlign w:val="top"/>
          </w:tcPr>
          <w:p>
            <w:r>
              <w:rPr>
                <w:rFonts w:hint="eastAsi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restart"/>
            <w:noWrap w:val="0"/>
            <w:vAlign w:val="center"/>
          </w:tcPr>
          <w:p>
            <w:pPr>
              <w:jc w:val="center"/>
            </w:pPr>
            <w:r>
              <w:rPr>
                <w:rFonts w:hint="eastAsia"/>
              </w:rPr>
              <w:t>论文发表</w:t>
            </w:r>
          </w:p>
        </w:tc>
        <w:tc>
          <w:tcPr>
            <w:tcW w:w="2912" w:type="dxa"/>
            <w:noWrap w:val="0"/>
            <w:vAlign w:val="top"/>
          </w:tcPr>
          <w:p>
            <w:r>
              <w:rPr>
                <w:rFonts w:hint="eastAsia"/>
              </w:rPr>
              <w:t>SCI二区以上或TOP（中科院）期刊论文</w:t>
            </w:r>
          </w:p>
        </w:tc>
        <w:tc>
          <w:tcPr>
            <w:tcW w:w="2805" w:type="dxa"/>
            <w:noWrap w:val="0"/>
            <w:vAlign w:val="center"/>
          </w:tcPr>
          <w:p>
            <w:pPr>
              <w:jc w:val="center"/>
            </w:pPr>
            <w:r>
              <w:rPr>
                <w:rFonts w:hint="eastAsi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center"/>
          </w:tcPr>
          <w:p>
            <w:pPr>
              <w:jc w:val="center"/>
            </w:pPr>
          </w:p>
        </w:tc>
        <w:tc>
          <w:tcPr>
            <w:tcW w:w="2912" w:type="dxa"/>
            <w:noWrap w:val="0"/>
            <w:vAlign w:val="top"/>
          </w:tcPr>
          <w:p>
            <w:r>
              <w:rPr>
                <w:rFonts w:hint="eastAsia"/>
              </w:rPr>
              <w:t>SCI三区、四区和EI检索的A类期刊论文</w:t>
            </w:r>
          </w:p>
        </w:tc>
        <w:tc>
          <w:tcPr>
            <w:tcW w:w="2805" w:type="dxa"/>
            <w:noWrap w:val="0"/>
            <w:vAlign w:val="center"/>
          </w:tcPr>
          <w:p>
            <w:pPr>
              <w:jc w:val="center"/>
            </w:pPr>
            <w:r>
              <w:rPr>
                <w:rFonts w:hint="eastAsi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B级学术期刊</w:t>
            </w:r>
          </w:p>
        </w:tc>
        <w:tc>
          <w:tcPr>
            <w:tcW w:w="2805" w:type="dxa"/>
            <w:noWrap w:val="0"/>
            <w:vAlign w:val="center"/>
          </w:tcPr>
          <w:p>
            <w:pPr>
              <w:jc w:val="center"/>
            </w:pPr>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C级学术期刊</w:t>
            </w:r>
          </w:p>
        </w:tc>
        <w:tc>
          <w:tcPr>
            <w:tcW w:w="2805" w:type="dxa"/>
            <w:noWrap w:val="0"/>
            <w:vAlign w:val="center"/>
          </w:tcPr>
          <w:p>
            <w:pPr>
              <w:jc w:val="center"/>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EI检索的国际学术会议论文</w:t>
            </w:r>
          </w:p>
        </w:tc>
        <w:tc>
          <w:tcPr>
            <w:tcW w:w="2805" w:type="dxa"/>
            <w:noWrap w:val="0"/>
            <w:vAlign w:val="center"/>
          </w:tcPr>
          <w:p>
            <w:pPr>
              <w:jc w:val="center"/>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一般学术期刊、各类学术期刊增刊、国内有刊号学术会议论文集</w:t>
            </w:r>
          </w:p>
        </w:tc>
        <w:tc>
          <w:tcPr>
            <w:tcW w:w="2805" w:type="dxa"/>
            <w:noWrap w:val="0"/>
            <w:vAlign w:val="center"/>
          </w:tcPr>
          <w:p>
            <w:pPr>
              <w:jc w:val="center"/>
            </w:pP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restart"/>
            <w:noWrap w:val="0"/>
            <w:vAlign w:val="center"/>
          </w:tcPr>
          <w:p>
            <w:pPr>
              <w:jc w:val="center"/>
            </w:pPr>
            <w:r>
              <w:rPr>
                <w:rFonts w:hint="eastAsia"/>
              </w:rPr>
              <w:t>专利授权</w:t>
            </w:r>
          </w:p>
        </w:tc>
        <w:tc>
          <w:tcPr>
            <w:tcW w:w="2912" w:type="dxa"/>
            <w:noWrap w:val="0"/>
            <w:vAlign w:val="top"/>
          </w:tcPr>
          <w:p>
            <w:r>
              <w:rPr>
                <w:rFonts w:hint="eastAsia"/>
              </w:rPr>
              <w:t>国际发明专利</w:t>
            </w:r>
          </w:p>
        </w:tc>
        <w:tc>
          <w:tcPr>
            <w:tcW w:w="2805" w:type="dxa"/>
            <w:noWrap w:val="0"/>
            <w:vAlign w:val="center"/>
          </w:tcPr>
          <w:p>
            <w:pPr>
              <w:jc w:val="center"/>
            </w:pPr>
            <w:r>
              <w:rPr>
                <w:rFonts w:hint="eastAsi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国家发明专利</w:t>
            </w:r>
          </w:p>
        </w:tc>
        <w:tc>
          <w:tcPr>
            <w:tcW w:w="2805" w:type="dxa"/>
            <w:noWrap w:val="0"/>
            <w:vAlign w:val="center"/>
          </w:tcPr>
          <w:p>
            <w:pPr>
              <w:jc w:val="center"/>
            </w:pPr>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实用新型专利</w:t>
            </w:r>
          </w:p>
        </w:tc>
        <w:tc>
          <w:tcPr>
            <w:tcW w:w="2805" w:type="dxa"/>
            <w:noWrap w:val="0"/>
            <w:vAlign w:val="center"/>
          </w:tcPr>
          <w:p>
            <w:pPr>
              <w:jc w:val="center"/>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软件著作权登记、集成电路布图设计</w:t>
            </w:r>
          </w:p>
        </w:tc>
        <w:tc>
          <w:tcPr>
            <w:tcW w:w="2805" w:type="dxa"/>
            <w:noWrap w:val="0"/>
            <w:vAlign w:val="center"/>
          </w:tcPr>
          <w:p>
            <w:pPr>
              <w:jc w:val="center"/>
            </w:pP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restart"/>
            <w:noWrap w:val="0"/>
            <w:vAlign w:val="center"/>
          </w:tcPr>
          <w:p>
            <w:pPr>
              <w:jc w:val="center"/>
            </w:pPr>
            <w:r>
              <w:rPr>
                <w:rFonts w:hint="eastAsia"/>
              </w:rPr>
              <w:t>科研项目</w:t>
            </w:r>
          </w:p>
        </w:tc>
        <w:tc>
          <w:tcPr>
            <w:tcW w:w="2912" w:type="dxa"/>
            <w:noWrap w:val="0"/>
            <w:vAlign w:val="top"/>
          </w:tcPr>
          <w:p>
            <w:r>
              <w:rPr>
                <w:rFonts w:hint="eastAsia"/>
              </w:rPr>
              <w:t>国家级大创项目结题</w:t>
            </w:r>
          </w:p>
        </w:tc>
        <w:tc>
          <w:tcPr>
            <w:tcW w:w="2805" w:type="dxa"/>
            <w:noWrap w:val="0"/>
            <w:vAlign w:val="center"/>
          </w:tcPr>
          <w:p>
            <w:pPr>
              <w:jc w:val="center"/>
            </w:pPr>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省级一般科研项目结题</w:t>
            </w:r>
          </w:p>
        </w:tc>
        <w:tc>
          <w:tcPr>
            <w:tcW w:w="2805" w:type="dxa"/>
            <w:noWrap w:val="0"/>
            <w:vAlign w:val="center"/>
          </w:tcPr>
          <w:p>
            <w:pPr>
              <w:jc w:val="center"/>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新苗、市厅级项目结题</w:t>
            </w:r>
          </w:p>
        </w:tc>
        <w:tc>
          <w:tcPr>
            <w:tcW w:w="2805" w:type="dxa"/>
            <w:noWrap w:val="0"/>
            <w:vAlign w:val="center"/>
          </w:tcPr>
          <w:p>
            <w:pPr>
              <w:jc w:val="center"/>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校级SRIP、乐歌创新项目结题</w:t>
            </w:r>
          </w:p>
        </w:tc>
        <w:tc>
          <w:tcPr>
            <w:tcW w:w="2805" w:type="dxa"/>
            <w:noWrap w:val="0"/>
            <w:vAlign w:val="center"/>
          </w:tcPr>
          <w:p>
            <w:pPr>
              <w:jc w:val="center"/>
            </w:pPr>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restart"/>
            <w:noWrap w:val="0"/>
            <w:vAlign w:val="center"/>
          </w:tcPr>
          <w:p>
            <w:pPr>
              <w:jc w:val="center"/>
            </w:pPr>
            <w:r>
              <w:rPr>
                <w:rFonts w:hint="eastAsia"/>
              </w:rPr>
              <w:t>学科竞赛</w:t>
            </w:r>
          </w:p>
        </w:tc>
        <w:tc>
          <w:tcPr>
            <w:tcW w:w="2912" w:type="dxa"/>
            <w:noWrap w:val="0"/>
            <w:vAlign w:val="top"/>
          </w:tcPr>
          <w:p>
            <w:r>
              <w:rPr>
                <w:rFonts w:hint="eastAsia"/>
              </w:rPr>
              <w:t>A类学科竞赛国家级特等奖、金奖或一等奖</w:t>
            </w:r>
          </w:p>
        </w:tc>
        <w:tc>
          <w:tcPr>
            <w:tcW w:w="2805" w:type="dxa"/>
            <w:noWrap w:val="0"/>
            <w:vAlign w:val="center"/>
          </w:tcPr>
          <w:p>
            <w:pPr>
              <w:jc w:val="center"/>
            </w:pPr>
            <w:r>
              <w:rPr>
                <w:rFonts w:hint="eastAsi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A类学科竞赛国家级银奖或二等奖，B类学科竞赛国家级特等奖、金奖或一等奖</w:t>
            </w:r>
          </w:p>
        </w:tc>
        <w:tc>
          <w:tcPr>
            <w:tcW w:w="2805" w:type="dxa"/>
            <w:noWrap w:val="0"/>
            <w:vAlign w:val="center"/>
          </w:tcPr>
          <w:p>
            <w:pPr>
              <w:jc w:val="center"/>
            </w:pPr>
            <w:r>
              <w:rPr>
                <w:rFonts w:hint="eastAsi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A类学科竞赛国家级铜奖或三等奖，B类学科竞赛国家级银奖或二等奖</w:t>
            </w:r>
          </w:p>
        </w:tc>
        <w:tc>
          <w:tcPr>
            <w:tcW w:w="2805" w:type="dxa"/>
            <w:noWrap w:val="0"/>
            <w:vAlign w:val="center"/>
          </w:tcPr>
          <w:p>
            <w:pPr>
              <w:jc w:val="center"/>
            </w:pPr>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A类学科竞赛省级特等奖、金奖或一等奖，B类学科竞赛国家级铜奖或三等奖</w:t>
            </w:r>
          </w:p>
        </w:tc>
        <w:tc>
          <w:tcPr>
            <w:tcW w:w="2805" w:type="dxa"/>
            <w:noWrap w:val="0"/>
            <w:vAlign w:val="center"/>
          </w:tcPr>
          <w:p>
            <w:pPr>
              <w:jc w:val="center"/>
            </w:pPr>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A类学科竞赛省级银奖或二等奖，B类学科竞赛省级特等奖、金奖或一等奖</w:t>
            </w:r>
          </w:p>
        </w:tc>
        <w:tc>
          <w:tcPr>
            <w:tcW w:w="2805" w:type="dxa"/>
            <w:noWrap w:val="0"/>
            <w:vAlign w:val="center"/>
          </w:tcPr>
          <w:p>
            <w:pPr>
              <w:jc w:val="center"/>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A类学科竞赛省级铜奖或三等奖，B类学科竞赛省级银奖或二等奖</w:t>
            </w:r>
          </w:p>
        </w:tc>
        <w:tc>
          <w:tcPr>
            <w:tcW w:w="2805" w:type="dxa"/>
            <w:noWrap w:val="0"/>
            <w:vAlign w:val="center"/>
          </w:tcPr>
          <w:p>
            <w:pPr>
              <w:jc w:val="center"/>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B类学科竞赛省级铜奖或三等奖，A类、B类学科竞赛校级比赛一、二等奖</w:t>
            </w:r>
          </w:p>
        </w:tc>
        <w:tc>
          <w:tcPr>
            <w:tcW w:w="2805" w:type="dxa"/>
            <w:noWrap w:val="0"/>
            <w:vAlign w:val="center"/>
          </w:tcPr>
          <w:p>
            <w:pPr>
              <w:jc w:val="center"/>
            </w:pPr>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A类、B类学科竞赛校级比赛三等奖，其他学科竞赛进入市级以上决赛</w:t>
            </w:r>
          </w:p>
        </w:tc>
        <w:tc>
          <w:tcPr>
            <w:tcW w:w="2805" w:type="dxa"/>
            <w:noWrap w:val="0"/>
            <w:vAlign w:val="center"/>
          </w:tcPr>
          <w:p>
            <w:pPr>
              <w:jc w:val="center"/>
            </w:pP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restart"/>
            <w:noWrap w:val="0"/>
            <w:vAlign w:val="center"/>
          </w:tcPr>
          <w:p>
            <w:pPr>
              <w:jc w:val="center"/>
            </w:pPr>
            <w:r>
              <w:rPr>
                <w:rFonts w:hint="eastAsia"/>
              </w:rPr>
              <w:t>创业获奖</w:t>
            </w:r>
          </w:p>
        </w:tc>
        <w:tc>
          <w:tcPr>
            <w:tcW w:w="2912" w:type="dxa"/>
            <w:noWrap w:val="0"/>
            <w:vAlign w:val="top"/>
          </w:tcPr>
          <w:p>
            <w:r>
              <w:rPr>
                <w:rFonts w:hint="eastAsia"/>
              </w:rPr>
              <w:t>省级以上创业计划大赛进入决赛</w:t>
            </w:r>
          </w:p>
        </w:tc>
        <w:tc>
          <w:tcPr>
            <w:tcW w:w="2805" w:type="dxa"/>
            <w:noWrap w:val="0"/>
            <w:vAlign w:val="center"/>
          </w:tcPr>
          <w:p>
            <w:pPr>
              <w:jc w:val="center"/>
            </w:pPr>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市级创业计划大赛进入决赛</w:t>
            </w:r>
          </w:p>
        </w:tc>
        <w:tc>
          <w:tcPr>
            <w:tcW w:w="2805" w:type="dxa"/>
            <w:noWrap w:val="0"/>
            <w:vAlign w:val="center"/>
          </w:tcPr>
          <w:p>
            <w:pPr>
              <w:jc w:val="center"/>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05" w:type="dxa"/>
            <w:vMerge w:val="continue"/>
            <w:noWrap w:val="0"/>
            <w:vAlign w:val="top"/>
          </w:tcPr>
          <w:p/>
        </w:tc>
        <w:tc>
          <w:tcPr>
            <w:tcW w:w="2912" w:type="dxa"/>
            <w:noWrap w:val="0"/>
            <w:vAlign w:val="top"/>
          </w:tcPr>
          <w:p>
            <w:r>
              <w:rPr>
                <w:rFonts w:hint="eastAsia"/>
              </w:rPr>
              <w:t>区县级创业计划大赛进入决赛、进入学校大学生创业园注册公司</w:t>
            </w:r>
          </w:p>
        </w:tc>
        <w:tc>
          <w:tcPr>
            <w:tcW w:w="2805" w:type="dxa"/>
            <w:noWrap w:val="0"/>
            <w:vAlign w:val="center"/>
          </w:tcPr>
          <w:p>
            <w:pPr>
              <w:jc w:val="center"/>
            </w:pPr>
            <w:r>
              <w:rPr>
                <w:rFonts w:hint="eastAsia"/>
              </w:rPr>
              <w:t>2</w:t>
            </w:r>
          </w:p>
        </w:tc>
      </w:tr>
    </w:tbl>
    <w:p>
      <w:pPr>
        <w:widowControl/>
        <w:spacing w:line="440" w:lineRule="exact"/>
        <w:ind w:firstLine="480" w:firstLineChars="200"/>
        <w:jc w:val="left"/>
        <w:rPr>
          <w:rFonts w:ascii="宋体" w:hAnsi="宋体" w:eastAsia="等线" w:cs="宋体"/>
          <w:kern w:val="0"/>
          <w:sz w:val="24"/>
        </w:rPr>
      </w:pPr>
      <w:r>
        <w:rPr>
          <w:rFonts w:hint="eastAsia" w:ascii="宋体" w:hAnsi="宋体" w:eastAsia="等线" w:cs="宋体"/>
          <w:kern w:val="0"/>
          <w:sz w:val="24"/>
          <w:highlight w:val="yellow"/>
        </w:rPr>
        <w:t>各类别仅限2项内容（可以为同一等级）获得分值</w:t>
      </w:r>
      <w:r>
        <w:rPr>
          <w:rFonts w:ascii="宋体" w:hAnsi="宋体" w:eastAsia="等线" w:cs="宋体"/>
          <w:kern w:val="0"/>
          <w:sz w:val="24"/>
          <w:highlight w:val="yellow"/>
        </w:rPr>
        <w:t>；</w:t>
      </w:r>
      <w:r>
        <w:rPr>
          <w:rFonts w:hint="eastAsia" w:ascii="宋体" w:hAnsi="宋体" w:eastAsia="等线" w:cs="宋体"/>
          <w:kern w:val="0"/>
          <w:sz w:val="24"/>
          <w:highlight w:val="yellow"/>
        </w:rPr>
        <w:t xml:space="preserve"> SCI/EI期刊论文，对于大四学生可以为接收录用且在线发表的状态，其他年级的学生必须为发表且被检索；同一项目如获得多个级别的竞赛奖项，仅最高级别的奖项计分</w:t>
      </w:r>
      <w:r>
        <w:rPr>
          <w:rFonts w:hint="eastAsia" w:ascii="宋体" w:hAnsi="宋体" w:eastAsia="等线" w:cs="宋体"/>
          <w:kern w:val="0"/>
          <w:sz w:val="24"/>
          <w:highlight w:val="yellow"/>
          <w:lang w:eastAsia="zh-CN"/>
        </w:rPr>
        <w:t>。</w:t>
      </w:r>
      <w:r>
        <w:rPr>
          <w:rFonts w:hint="eastAsia" w:ascii="宋体" w:hAnsi="宋体" w:eastAsia="等线" w:cs="宋体"/>
          <w:kern w:val="0"/>
          <w:sz w:val="24"/>
          <w:highlight w:val="yellow"/>
          <w:lang w:val="en-US" w:eastAsia="zh-CN"/>
        </w:rPr>
        <w:t>论文发表、专利授权、科研项目学生一作获得全部分值；教师一作，学生二作获得一半分值；co-first只认排序第一的作者；其余不得分。学科竞赛和创业获奖</w:t>
      </w:r>
      <w:r>
        <w:rPr>
          <w:rFonts w:hint="eastAsia" w:ascii="宋体" w:hAnsi="宋体" w:eastAsia="等线" w:cs="宋体"/>
          <w:kern w:val="0"/>
          <w:sz w:val="24"/>
        </w:rPr>
        <w:t>涉及多人合作时，按照以下方法分配系数。</w:t>
      </w:r>
    </w:p>
    <w:tbl>
      <w:tblPr>
        <w:tblStyle w:val="4"/>
        <w:tblpPr w:leftFromText="180" w:rightFromText="180" w:vertAnchor="text" w:horzAnchor="margin" w:tblpXSpec="right" w:tblpY="149"/>
        <w:tblW w:w="9322" w:type="dxa"/>
        <w:tblInd w:w="0" w:type="dxa"/>
        <w:tblLayout w:type="fixed"/>
        <w:tblCellMar>
          <w:top w:w="0" w:type="dxa"/>
          <w:left w:w="108" w:type="dxa"/>
          <w:bottom w:w="0" w:type="dxa"/>
          <w:right w:w="108" w:type="dxa"/>
        </w:tblCellMar>
      </w:tblPr>
      <w:tblGrid>
        <w:gridCol w:w="817"/>
        <w:gridCol w:w="607"/>
        <w:gridCol w:w="669"/>
        <w:gridCol w:w="709"/>
        <w:gridCol w:w="708"/>
        <w:gridCol w:w="567"/>
        <w:gridCol w:w="567"/>
        <w:gridCol w:w="567"/>
        <w:gridCol w:w="567"/>
        <w:gridCol w:w="567"/>
        <w:gridCol w:w="547"/>
        <w:gridCol w:w="607"/>
        <w:gridCol w:w="608"/>
        <w:gridCol w:w="607"/>
        <w:gridCol w:w="608"/>
      </w:tblGrid>
      <w:tr>
        <w:tblPrEx>
          <w:tblCellMar>
            <w:top w:w="0" w:type="dxa"/>
            <w:left w:w="108" w:type="dxa"/>
            <w:bottom w:w="0" w:type="dxa"/>
            <w:right w:w="108" w:type="dxa"/>
          </w:tblCellMar>
        </w:tblPrEx>
        <w:trPr>
          <w:trHeight w:val="353"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人数</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2</w:t>
            </w:r>
          </w:p>
        </w:tc>
        <w:tc>
          <w:tcPr>
            <w:tcW w:w="1984" w:type="dxa"/>
            <w:gridSpan w:val="3"/>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3</w:t>
            </w:r>
          </w:p>
        </w:tc>
        <w:tc>
          <w:tcPr>
            <w:tcW w:w="2268" w:type="dxa"/>
            <w:gridSpan w:val="4"/>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4</w:t>
            </w:r>
          </w:p>
        </w:tc>
        <w:tc>
          <w:tcPr>
            <w:tcW w:w="2977" w:type="dxa"/>
            <w:gridSpan w:val="5"/>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5</w:t>
            </w:r>
          </w:p>
        </w:tc>
      </w:tr>
      <w:tr>
        <w:tblPrEx>
          <w:tblCellMar>
            <w:top w:w="0" w:type="dxa"/>
            <w:left w:w="108" w:type="dxa"/>
            <w:bottom w:w="0" w:type="dxa"/>
            <w:right w:w="108" w:type="dxa"/>
          </w:tblCellMar>
        </w:tblPrEx>
        <w:trPr>
          <w:trHeight w:val="239"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排序</w:t>
            </w:r>
          </w:p>
        </w:tc>
        <w:tc>
          <w:tcPr>
            <w:tcW w:w="60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1</w:t>
            </w:r>
          </w:p>
        </w:tc>
        <w:tc>
          <w:tcPr>
            <w:tcW w:w="669"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2</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1</w:t>
            </w:r>
          </w:p>
        </w:tc>
        <w:tc>
          <w:tcPr>
            <w:tcW w:w="708"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2</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3</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1</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2</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3</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4</w:t>
            </w:r>
          </w:p>
        </w:tc>
        <w:tc>
          <w:tcPr>
            <w:tcW w:w="54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1</w:t>
            </w:r>
          </w:p>
        </w:tc>
        <w:tc>
          <w:tcPr>
            <w:tcW w:w="60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2</w:t>
            </w:r>
          </w:p>
        </w:tc>
        <w:tc>
          <w:tcPr>
            <w:tcW w:w="608"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3</w:t>
            </w:r>
          </w:p>
        </w:tc>
        <w:tc>
          <w:tcPr>
            <w:tcW w:w="60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4</w:t>
            </w:r>
          </w:p>
        </w:tc>
        <w:tc>
          <w:tcPr>
            <w:tcW w:w="608"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5</w:t>
            </w:r>
          </w:p>
        </w:tc>
      </w:tr>
      <w:tr>
        <w:tblPrEx>
          <w:tblCellMar>
            <w:top w:w="0" w:type="dxa"/>
            <w:left w:w="108" w:type="dxa"/>
            <w:bottom w:w="0" w:type="dxa"/>
            <w:right w:w="108" w:type="dxa"/>
          </w:tblCellMar>
        </w:tblPrEx>
        <w:trPr>
          <w:trHeight w:val="239"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24"/>
              </w:rPr>
            </w:pPr>
            <w:r>
              <w:rPr>
                <w:rFonts w:hint="eastAsia" w:ascii="宋体" w:hAnsi="宋体" w:eastAsia="等线" w:cs="宋体"/>
                <w:kern w:val="0"/>
                <w:sz w:val="24"/>
              </w:rPr>
              <w:t>分配系数</w:t>
            </w:r>
          </w:p>
        </w:tc>
        <w:tc>
          <w:tcPr>
            <w:tcW w:w="60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0.6</w:t>
            </w:r>
          </w:p>
        </w:tc>
        <w:tc>
          <w:tcPr>
            <w:tcW w:w="669"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0.4</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0.5</w:t>
            </w:r>
          </w:p>
        </w:tc>
        <w:tc>
          <w:tcPr>
            <w:tcW w:w="708"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0.3</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0.2</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0.5</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0.3</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0.1</w:t>
            </w:r>
          </w:p>
        </w:tc>
        <w:tc>
          <w:tcPr>
            <w:tcW w:w="56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0.1</w:t>
            </w:r>
          </w:p>
        </w:tc>
        <w:tc>
          <w:tcPr>
            <w:tcW w:w="54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0.5</w:t>
            </w:r>
          </w:p>
        </w:tc>
        <w:tc>
          <w:tcPr>
            <w:tcW w:w="60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0.25</w:t>
            </w:r>
          </w:p>
        </w:tc>
        <w:tc>
          <w:tcPr>
            <w:tcW w:w="608"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0.15</w:t>
            </w:r>
          </w:p>
        </w:tc>
        <w:tc>
          <w:tcPr>
            <w:tcW w:w="607"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0.05</w:t>
            </w:r>
          </w:p>
        </w:tc>
        <w:tc>
          <w:tcPr>
            <w:tcW w:w="608"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eastAsia="等线" w:cs="宋体"/>
                <w:kern w:val="0"/>
                <w:sz w:val="18"/>
                <w:szCs w:val="18"/>
              </w:rPr>
            </w:pPr>
            <w:r>
              <w:rPr>
                <w:rFonts w:hint="eastAsia" w:ascii="宋体" w:hAnsi="宋体" w:eastAsia="等线" w:cs="宋体"/>
                <w:kern w:val="0"/>
                <w:sz w:val="18"/>
                <w:szCs w:val="18"/>
              </w:rPr>
              <w:t>0.05</w:t>
            </w:r>
          </w:p>
        </w:tc>
      </w:tr>
    </w:tbl>
    <w:p>
      <w:pPr>
        <w:rPr>
          <w:rFonts w:hint="eastAsia" w:ascii="等线" w:hAnsi="等线" w:eastAsia="等线"/>
        </w:rPr>
      </w:pPr>
      <w:r>
        <w:rPr>
          <w:rFonts w:hint="eastAsia" w:ascii="等线" w:hAnsi="等线" w:eastAsia="等线"/>
        </w:rPr>
        <w:t>注：合作者六人及以上都按五人标准计算。</w:t>
      </w:r>
    </w:p>
    <w:p>
      <w:pPr>
        <w:rPr>
          <w:rFonts w:ascii="等线" w:hAnsi="等线" w:eastAsia="等线"/>
        </w:rPr>
      </w:pPr>
    </w:p>
    <w:p>
      <w:pPr>
        <w:spacing w:line="520" w:lineRule="exact"/>
        <w:ind w:firstLine="420" w:firstLineChars="200"/>
        <w:jc w:val="left"/>
        <w:outlineLvl w:val="0"/>
        <w:rPr>
          <w:b/>
          <w:bCs/>
          <w:color w:val="FF0000"/>
        </w:rPr>
      </w:pPr>
      <w:r>
        <w:rPr>
          <w:rFonts w:hint="eastAsia"/>
        </w:rPr>
        <w:t>（四）</w:t>
      </w:r>
      <w:r>
        <w:rPr>
          <w:rFonts w:hint="eastAsia"/>
          <w:b/>
          <w:bCs/>
          <w:color w:val="FF0000"/>
        </w:rPr>
        <w:t>非学业因素总评分（百分制）=（A）</w:t>
      </w:r>
      <w:r>
        <w:rPr>
          <w:b/>
          <w:bCs/>
          <w:color w:val="FF0000"/>
        </w:rPr>
        <w:t>*0.15+（B）*0.1</w:t>
      </w:r>
      <w:r>
        <w:rPr>
          <w:rFonts w:hint="eastAsia"/>
          <w:b/>
          <w:bCs/>
          <w:color w:val="FF0000"/>
        </w:rPr>
        <w:t>5</w:t>
      </w:r>
      <w:r>
        <w:rPr>
          <w:b/>
          <w:bCs/>
          <w:color w:val="FF0000"/>
        </w:rPr>
        <w:t>+（C）*0.1+（D）*0.1+（E）*0.15+（F）*0.1+（G）*0.05+（H）*0.1+（</w:t>
      </w:r>
      <w:r>
        <w:rPr>
          <w:rFonts w:hint="eastAsia"/>
          <w:b/>
          <w:bCs/>
          <w:color w:val="FF0000"/>
        </w:rPr>
        <w:t>I</w:t>
      </w:r>
      <w:r>
        <w:rPr>
          <w:b/>
          <w:bCs/>
          <w:color w:val="FF0000"/>
        </w:rPr>
        <w:t>）*0.1+</w:t>
      </w:r>
      <w:r>
        <w:rPr>
          <w:rFonts w:hint="eastAsia"/>
          <w:b/>
          <w:bCs/>
          <w:color w:val="FF0000"/>
        </w:rPr>
        <w:t>J</w:t>
      </w:r>
    </w:p>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0"/>
        <w:gridCol w:w="964"/>
        <w:gridCol w:w="3186"/>
        <w:gridCol w:w="3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top"/>
          </w:tcPr>
          <w:p/>
        </w:tc>
        <w:tc>
          <w:tcPr>
            <w:tcW w:w="1106" w:type="dxa"/>
            <w:noWrap w:val="0"/>
            <w:vAlign w:val="top"/>
          </w:tcPr>
          <w:p>
            <w:pPr>
              <w:jc w:val="center"/>
            </w:pPr>
            <w:r>
              <w:rPr>
                <w:rFonts w:hint="eastAsia"/>
              </w:rPr>
              <w:t>基本分</w:t>
            </w:r>
          </w:p>
        </w:tc>
        <w:tc>
          <w:tcPr>
            <w:tcW w:w="3742" w:type="dxa"/>
            <w:noWrap w:val="0"/>
            <w:vAlign w:val="top"/>
          </w:tcPr>
          <w:p>
            <w:pPr>
              <w:jc w:val="center"/>
            </w:pPr>
            <w:r>
              <w:rPr>
                <w:rFonts w:hint="eastAsia"/>
              </w:rPr>
              <w:t>加分</w:t>
            </w:r>
          </w:p>
        </w:tc>
        <w:tc>
          <w:tcPr>
            <w:tcW w:w="3662" w:type="dxa"/>
            <w:noWrap w:val="0"/>
            <w:vAlign w:val="top"/>
          </w:tcPr>
          <w:p>
            <w:pPr>
              <w:jc w:val="center"/>
            </w:pPr>
            <w:r>
              <w:rPr>
                <w:rFonts w:hint="eastAsia"/>
              </w:rPr>
              <w:t>减分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（A）思想表现</w:t>
            </w:r>
          </w:p>
        </w:tc>
        <w:tc>
          <w:tcPr>
            <w:tcW w:w="1106" w:type="dxa"/>
            <w:noWrap w:val="0"/>
            <w:vAlign w:val="center"/>
          </w:tcPr>
          <w:p>
            <w:pPr>
              <w:jc w:val="center"/>
            </w:pPr>
            <w:r>
              <w:t>60</w:t>
            </w:r>
          </w:p>
        </w:tc>
        <w:tc>
          <w:tcPr>
            <w:tcW w:w="3742" w:type="dxa"/>
            <w:noWrap w:val="0"/>
            <w:vAlign w:val="top"/>
          </w:tcPr>
          <w:p>
            <w:r>
              <w:t xml:space="preserve">1. </w:t>
            </w:r>
            <w:r>
              <w:rPr>
                <w:rFonts w:hint="eastAsia"/>
              </w:rPr>
              <w:t>参加分党校培训班且结业的入党积极分子（+5，仅限大一）；</w:t>
            </w:r>
          </w:p>
          <w:p>
            <w:r>
              <w:rPr>
                <w:rFonts w:hint="eastAsia"/>
              </w:rPr>
              <w:t>2. 被评为分党校培训班优秀学员（+</w:t>
            </w:r>
            <w:r>
              <w:t>5</w:t>
            </w:r>
            <w:r>
              <w:rPr>
                <w:rFonts w:hint="eastAsia"/>
              </w:rPr>
              <w:t>）；</w:t>
            </w:r>
          </w:p>
          <w:p>
            <w:r>
              <w:rPr>
                <w:rFonts w:hint="eastAsia"/>
              </w:rPr>
              <w:t>3. 被确立为发展对象（+</w:t>
            </w:r>
            <w:r>
              <w:t>5</w:t>
            </w:r>
            <w:r>
              <w:rPr>
                <w:rFonts w:hint="eastAsia"/>
              </w:rPr>
              <w:t>）；</w:t>
            </w:r>
          </w:p>
          <w:p>
            <w:r>
              <w:rPr>
                <w:rFonts w:hint="eastAsia"/>
              </w:rPr>
              <w:t>4. 预备党员、党员（+</w:t>
            </w:r>
            <w:r>
              <w:t>2</w:t>
            </w:r>
            <w:r>
              <w:rPr>
                <w:rFonts w:hint="eastAsia"/>
              </w:rPr>
              <w:t>0）；</w:t>
            </w:r>
          </w:p>
          <w:p>
            <w:r>
              <w:t xml:space="preserve">5. </w:t>
            </w:r>
            <w:r>
              <w:rPr>
                <w:rFonts w:hint="eastAsia"/>
              </w:rPr>
              <w:t>参加中国特色社会主义理论研究会并获得创新创业学分（+10，仅限大一）；</w:t>
            </w:r>
          </w:p>
          <w:p>
            <w:r>
              <w:rPr>
                <w:rFonts w:hint="eastAsia"/>
              </w:rPr>
              <w:t>6. 被评为“锋领党员”（+</w:t>
            </w:r>
            <w:r>
              <w:t>10</w:t>
            </w:r>
            <w:r>
              <w:rPr>
                <w:rFonts w:hint="eastAsia"/>
              </w:rPr>
              <w:t>）；</w:t>
            </w:r>
          </w:p>
          <w:p>
            <w:r>
              <w:rPr>
                <w:rFonts w:hint="eastAsia"/>
                <w:lang w:val="en-US" w:eastAsia="zh-CN"/>
              </w:rPr>
              <w:t>7</w:t>
            </w:r>
            <w:r>
              <w:rPr>
                <w:rFonts w:hint="eastAsia"/>
              </w:rPr>
              <w:t>. 担任学院党员之家管委会副主任以上学生干部（+</w:t>
            </w:r>
            <w:r>
              <w:t>2</w:t>
            </w:r>
            <w:r>
              <w:rPr>
                <w:rFonts w:hint="eastAsia"/>
              </w:rPr>
              <w:t>0）。</w:t>
            </w:r>
          </w:p>
        </w:tc>
        <w:tc>
          <w:tcPr>
            <w:tcW w:w="3662" w:type="dxa"/>
            <w:noWrap w:val="0"/>
            <w:vAlign w:val="top"/>
          </w:tcPr>
          <w:p>
            <w:r>
              <w:rPr>
                <w:rFonts w:hint="eastAsia"/>
              </w:rPr>
              <w:t>1. 预备党员或党员受党内、校内处分，延长预备期或取消预备党员资格（非主观原因除外），或党内考核不合格，或入党前后行为表现差异较大（-4</w:t>
            </w:r>
            <w:r>
              <w:t>0</w:t>
            </w:r>
            <w:r>
              <w:rPr>
                <w:rFonts w:hint="eastAsia"/>
              </w:rPr>
              <w:t>）；</w:t>
            </w:r>
          </w:p>
          <w:p>
            <w:r>
              <w:rPr>
                <w:rFonts w:hint="eastAsia"/>
              </w:rPr>
              <w:t>2. 有违反四项基本原则之言行（-6</w:t>
            </w:r>
            <w:r>
              <w:t>0</w:t>
            </w:r>
            <w:r>
              <w:rPr>
                <w:rFonts w:hint="eastAsia"/>
              </w:rPr>
              <w:t>）；</w:t>
            </w:r>
          </w:p>
          <w:p>
            <w:r>
              <w:t xml:space="preserve">3. </w:t>
            </w:r>
            <w:r>
              <w:rPr>
                <w:rFonts w:hint="eastAsia"/>
              </w:rPr>
              <w:t>参加非法组织，从事非法政治、宗教、传销活动（-60）；</w:t>
            </w:r>
          </w:p>
          <w:p>
            <w:r>
              <w:rPr>
                <w:rFonts w:hint="eastAsia"/>
              </w:rPr>
              <w:t>4. 参加非法集会、游行、示威（-60）；</w:t>
            </w:r>
          </w:p>
          <w:p>
            <w:r>
              <w:rPr>
                <w:rFonts w:hint="eastAsia"/>
              </w:rPr>
              <w:t>5. 发表不正当言论，或有影响学校声誉的行为（-40）；</w:t>
            </w:r>
          </w:p>
          <w:p>
            <w:r>
              <w:rPr>
                <w:rFonts w:hint="eastAsia"/>
              </w:rPr>
              <w:t>6. 影响学校正常教学秩序（-2</w:t>
            </w:r>
            <w:r>
              <w:t>0</w:t>
            </w:r>
            <w:r>
              <w:rPr>
                <w:rFonts w:hint="eastAsia"/>
              </w:rPr>
              <w:t>）；</w:t>
            </w:r>
          </w:p>
          <w:p>
            <w:r>
              <w:rPr>
                <w:rFonts w:hint="eastAsia"/>
              </w:rPr>
              <w:t>7. 被公安或国安部门发现的违法或其他严重违规行为（-60）。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（B）文明守纪</w:t>
            </w:r>
          </w:p>
        </w:tc>
        <w:tc>
          <w:tcPr>
            <w:tcW w:w="1106" w:type="dxa"/>
            <w:noWrap w:val="0"/>
            <w:vAlign w:val="center"/>
          </w:tcPr>
          <w:p>
            <w:pPr>
              <w:jc w:val="center"/>
            </w:pPr>
            <w:r>
              <w:t>60</w:t>
            </w:r>
          </w:p>
        </w:tc>
        <w:tc>
          <w:tcPr>
            <w:tcW w:w="3742" w:type="dxa"/>
            <w:noWrap w:val="0"/>
            <w:vAlign w:val="top"/>
          </w:tcPr>
          <w:p>
            <w:r>
              <w:t xml:space="preserve">1. </w:t>
            </w:r>
            <w:r>
              <w:rPr>
                <w:rFonts w:hint="eastAsia"/>
              </w:rPr>
              <w:t>本学年所在寝室卫生检查成绩获优良等级的（+</w:t>
            </w:r>
            <w:r>
              <w:t>3</w:t>
            </w:r>
            <w:r>
              <w:rPr>
                <w:rFonts w:hint="eastAsia"/>
              </w:rPr>
              <w:t>0）。</w:t>
            </w:r>
          </w:p>
        </w:tc>
        <w:tc>
          <w:tcPr>
            <w:tcW w:w="3662" w:type="dxa"/>
            <w:noWrap w:val="0"/>
            <w:vAlign w:val="top"/>
          </w:tcPr>
          <w:p>
            <w:r>
              <w:rPr>
                <w:rFonts w:hint="eastAsia"/>
              </w:rPr>
              <w:t>1</w:t>
            </w:r>
            <w:r>
              <w:t xml:space="preserve">. </w:t>
            </w:r>
            <w:r>
              <w:rPr>
                <w:rFonts w:hint="eastAsia"/>
              </w:rPr>
              <w:t>擅自在校外住宿的(-20) ；</w:t>
            </w:r>
          </w:p>
          <w:p>
            <w:r>
              <w:rPr>
                <w:rFonts w:hint="eastAsia"/>
              </w:rPr>
              <w:t>2</w:t>
            </w:r>
            <w:r>
              <w:t xml:space="preserve">. </w:t>
            </w:r>
            <w:r>
              <w:rPr>
                <w:rFonts w:hint="eastAsia"/>
              </w:rPr>
              <w:t>所在寝室月评定记录不合格（-10/次）；</w:t>
            </w:r>
          </w:p>
          <w:p>
            <w:r>
              <w:rPr>
                <w:rFonts w:hint="eastAsia"/>
              </w:rPr>
              <w:t>3</w:t>
            </w:r>
            <w:r>
              <w:t xml:space="preserve">. </w:t>
            </w:r>
            <w:r>
              <w:rPr>
                <w:rFonts w:hint="eastAsia"/>
              </w:rPr>
              <w:t>被查实在寝室内从事影响他人正常学习、生活和休息的活动或行为的（-20）；</w:t>
            </w:r>
          </w:p>
          <w:p>
            <w:r>
              <w:rPr>
                <w:rFonts w:hint="eastAsia"/>
              </w:rPr>
              <w:t>4</w:t>
            </w:r>
            <w:r>
              <w:t xml:space="preserve">. </w:t>
            </w:r>
            <w:r>
              <w:rPr>
                <w:rFonts w:hint="eastAsia"/>
              </w:rPr>
              <w:t>受到学校、学院或有关部门通报批评的（-10/次）；</w:t>
            </w:r>
          </w:p>
          <w:p>
            <w:r>
              <w:rPr>
                <w:rFonts w:hint="eastAsia"/>
              </w:rPr>
              <w:t>5</w:t>
            </w:r>
            <w:r>
              <w:t xml:space="preserve">. </w:t>
            </w:r>
            <w:r>
              <w:rPr>
                <w:rFonts w:hint="eastAsia"/>
              </w:rPr>
              <w:t>受到学校警告以上处分的(-20) ；</w:t>
            </w:r>
          </w:p>
          <w:p>
            <w:r>
              <w:rPr>
                <w:rFonts w:hint="eastAsia"/>
              </w:rPr>
              <w:t>6</w:t>
            </w:r>
            <w:r>
              <w:t xml:space="preserve">. </w:t>
            </w:r>
            <w:r>
              <w:rPr>
                <w:rFonts w:hint="eastAsia"/>
              </w:rPr>
              <w:t>被公安部门发现有违法犯罪行为的（-60）；</w:t>
            </w:r>
          </w:p>
          <w:p>
            <w:r>
              <w:rPr>
                <w:rFonts w:hint="eastAsia"/>
              </w:rPr>
              <w:t>7</w:t>
            </w:r>
            <w:r>
              <w:t xml:space="preserve">. </w:t>
            </w:r>
            <w:r>
              <w:rPr>
                <w:rFonts w:hint="eastAsia"/>
              </w:rPr>
              <w:t>被多次催缴学费、还贷等有失信或违约记录的（-20）；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（C）学习态度</w:t>
            </w:r>
          </w:p>
        </w:tc>
        <w:tc>
          <w:tcPr>
            <w:tcW w:w="1106" w:type="dxa"/>
            <w:noWrap w:val="0"/>
            <w:vAlign w:val="center"/>
          </w:tcPr>
          <w:p>
            <w:pPr>
              <w:jc w:val="center"/>
            </w:pPr>
            <w:r>
              <w:t>60</w:t>
            </w:r>
          </w:p>
        </w:tc>
        <w:tc>
          <w:tcPr>
            <w:tcW w:w="3742" w:type="dxa"/>
            <w:noWrap w:val="0"/>
            <w:vAlign w:val="top"/>
          </w:tcPr>
          <w:p>
            <w:r>
              <w:rPr>
                <w:rFonts w:hint="eastAsia"/>
              </w:rPr>
              <w:t>1. 绩点为2.5以上（+</w:t>
            </w:r>
            <w:r>
              <w:t>2</w:t>
            </w:r>
            <w:r>
              <w:rPr>
                <w:rFonts w:hint="eastAsia"/>
              </w:rPr>
              <w:t>0）。</w:t>
            </w:r>
          </w:p>
        </w:tc>
        <w:tc>
          <w:tcPr>
            <w:tcW w:w="3662" w:type="dxa"/>
            <w:noWrap w:val="0"/>
            <w:vAlign w:val="top"/>
          </w:tcPr>
          <w:p>
            <w:r>
              <w:rPr>
                <w:rFonts w:hint="eastAsia"/>
              </w:rPr>
              <w:t>1. 因沉迷电脑游戏等主观原因被任课老师通报3次以上旷课的（-30）；</w:t>
            </w:r>
          </w:p>
          <w:p>
            <w:r>
              <w:rPr>
                <w:rFonts w:hint="eastAsia"/>
              </w:rPr>
              <w:t>2. 无故缺考的（-10/门）；</w:t>
            </w:r>
          </w:p>
          <w:p>
            <w:r>
              <w:rPr>
                <w:rFonts w:hint="eastAsia"/>
              </w:rPr>
              <w:t>3. 积点分为负或绩点为2.0以下的（-10）。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D</w:t>
            </w:r>
            <w:r>
              <w:rPr>
                <w:rFonts w:hint="eastAsia"/>
              </w:rPr>
              <w:t>）社会工作</w:t>
            </w:r>
          </w:p>
        </w:tc>
        <w:tc>
          <w:tcPr>
            <w:tcW w:w="1106" w:type="dxa"/>
            <w:noWrap w:val="0"/>
            <w:vAlign w:val="center"/>
          </w:tcPr>
          <w:p>
            <w:pPr>
              <w:jc w:val="center"/>
            </w:pPr>
            <w:r>
              <w:t>60</w:t>
            </w:r>
          </w:p>
        </w:tc>
        <w:tc>
          <w:tcPr>
            <w:tcW w:w="3742" w:type="dxa"/>
            <w:noWrap w:val="0"/>
            <w:vAlign w:val="top"/>
          </w:tcPr>
          <w:p>
            <w:r>
              <w:rPr>
                <w:rFonts w:hint="eastAsia"/>
              </w:rPr>
              <w:t>1</w:t>
            </w:r>
            <w:r>
              <w:t xml:space="preserve">. </w:t>
            </w:r>
            <w:r>
              <w:rPr>
                <w:rFonts w:hint="eastAsia"/>
              </w:rPr>
              <w:t>担任院级以上团委、学生会、新媒体中心副部长以上学生干部或有明确挂靠单位的学生社团副部长以上任职（+20）；</w:t>
            </w:r>
          </w:p>
          <w:p>
            <w:r>
              <w:t xml:space="preserve">2. </w:t>
            </w:r>
            <w:r>
              <w:rPr>
                <w:rFonts w:hint="eastAsia"/>
              </w:rPr>
              <w:t>担任院级以上团委、学生会、新媒体中心干事或有明确挂靠单位的学生社团干事（+10）；</w:t>
            </w:r>
          </w:p>
          <w:p>
            <w:r>
              <w:t xml:space="preserve">3. </w:t>
            </w:r>
            <w:r>
              <w:rPr>
                <w:rFonts w:hint="eastAsia"/>
              </w:rPr>
              <w:t>担任半年以上党支部书记、团支部书记、班长（+20）；</w:t>
            </w:r>
          </w:p>
          <w:p>
            <w:r>
              <w:t>4.</w:t>
            </w:r>
            <w:r>
              <w:rPr>
                <w:rFonts w:hint="eastAsia"/>
              </w:rPr>
              <w:t xml:space="preserve"> 担任半年以上党支部委员、班委（除班长和团支书以外）（+10）；</w:t>
            </w:r>
          </w:p>
          <w:p>
            <w:r>
              <w:t>5.</w:t>
            </w:r>
            <w:r>
              <w:rPr>
                <w:rFonts w:hint="eastAsia"/>
              </w:rPr>
              <w:t xml:space="preserve"> 获得院级以上优秀学生干部荣誉的（+20）。</w:t>
            </w:r>
          </w:p>
          <w:p>
            <w:r>
              <w:rPr>
                <w:rFonts w:hint="eastAsia"/>
              </w:rPr>
              <w:t>▲注：同时兼任多个组织学生干部的，不同级别可累加，同一级别不累加。</w:t>
            </w:r>
          </w:p>
        </w:tc>
        <w:tc>
          <w:tcPr>
            <w:tcW w:w="3662" w:type="dxa"/>
            <w:noWrap w:val="0"/>
            <w:vAlign w:val="top"/>
          </w:tcPr>
          <w:p>
            <w:r>
              <w:rPr>
                <w:rFonts w:hint="eastAsia"/>
              </w:rPr>
              <w:t>1</w:t>
            </w:r>
            <w:r>
              <w:t xml:space="preserve">. </w:t>
            </w:r>
            <w:r>
              <w:rPr>
                <w:rFonts w:hint="eastAsia"/>
              </w:rPr>
              <w:t>学生干部被选用单位或主管单位考核不合格的（-</w:t>
            </w:r>
            <w:r>
              <w:t>10</w:t>
            </w:r>
            <w:r>
              <w:rPr>
                <w:rFonts w:hint="eastAsia"/>
              </w:rPr>
              <w:t>）；</w:t>
            </w:r>
          </w:p>
          <w:p>
            <w:r>
              <w:rPr>
                <w:rFonts w:hint="eastAsia"/>
              </w:rPr>
              <w:t>2. 担任学生干部期间，因工作态度和作风问题造成不良后果，被撤销学生干部的（-20）。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E</w:t>
            </w:r>
            <w:r>
              <w:rPr>
                <w:rFonts w:hint="eastAsia"/>
              </w:rPr>
              <w:t>）实践公益</w:t>
            </w:r>
          </w:p>
        </w:tc>
        <w:tc>
          <w:tcPr>
            <w:tcW w:w="1106" w:type="dxa"/>
            <w:noWrap w:val="0"/>
            <w:vAlign w:val="center"/>
          </w:tcPr>
          <w:p>
            <w:pPr>
              <w:jc w:val="center"/>
            </w:pPr>
            <w:r>
              <w:t>50</w:t>
            </w:r>
          </w:p>
        </w:tc>
        <w:tc>
          <w:tcPr>
            <w:tcW w:w="3742" w:type="dxa"/>
            <w:noWrap w:val="0"/>
            <w:vAlign w:val="top"/>
          </w:tcPr>
          <w:p>
            <w:r>
              <w:rPr>
                <w:rFonts w:hint="eastAsia"/>
              </w:rPr>
              <w:t>1. 本学年青志时长达到10小时的（+</w:t>
            </w:r>
            <w:r>
              <w:t>5</w:t>
            </w:r>
            <w:r>
              <w:rPr>
                <w:rFonts w:hint="eastAsia"/>
              </w:rPr>
              <w:t>）；</w:t>
            </w:r>
          </w:p>
          <w:p>
            <w:r>
              <w:rPr>
                <w:rFonts w:hint="eastAsia"/>
              </w:rPr>
              <w:t>2. 本学年青志时长达到20小时的（+</w:t>
            </w:r>
            <w:r>
              <w:t>1</w:t>
            </w:r>
            <w:r>
              <w:rPr>
                <w:rFonts w:hint="eastAsia"/>
              </w:rPr>
              <w:t>0，向下不兼得）；</w:t>
            </w:r>
          </w:p>
          <w:p>
            <w:r>
              <w:rPr>
                <w:rFonts w:hint="eastAsia"/>
              </w:rPr>
              <w:t>3. 本学年青志时长达到30小时及以上的（+</w:t>
            </w:r>
            <w:r>
              <w:t>15</w:t>
            </w:r>
            <w:r>
              <w:rPr>
                <w:rFonts w:hint="eastAsia"/>
              </w:rPr>
              <w:t>，向下不兼得）；</w:t>
            </w:r>
          </w:p>
          <w:p>
            <w:r>
              <w:rPr>
                <w:rFonts w:hint="eastAsia"/>
              </w:rPr>
              <w:t>4. 被评为院级以上优秀青年志愿者或社会实践活动先进个人的（</w:t>
            </w:r>
            <w:r>
              <w:t>+10）；</w:t>
            </w:r>
          </w:p>
          <w:p>
            <w:r>
              <w:rPr>
                <w:rFonts w:hint="eastAsia"/>
              </w:rPr>
              <w:t xml:space="preserve">5. </w:t>
            </w:r>
            <w:r>
              <w:t>大一获得一星级青年志愿者称号，大二、大三获得二星级以上青年志愿者称号的（+10）；</w:t>
            </w:r>
          </w:p>
          <w:p>
            <w:r>
              <w:rPr>
                <w:rFonts w:hint="eastAsia"/>
              </w:rPr>
              <w:t xml:space="preserve">6. </w:t>
            </w:r>
            <w:r>
              <w:t>参加无偿献血的（+30/次）；</w:t>
            </w:r>
          </w:p>
        </w:tc>
        <w:tc>
          <w:tcPr>
            <w:tcW w:w="3662" w:type="dxa"/>
            <w:noWrap w:val="0"/>
            <w:vAlign w:val="top"/>
          </w:tcPr>
          <w:p>
            <w:r>
              <w:rPr>
                <w:rFonts w:hint="eastAsia"/>
              </w:rPr>
              <w:t>1. 本学年青志时长为0小时的（-30）。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F</w:t>
            </w:r>
            <w:r>
              <w:rPr>
                <w:rFonts w:hint="eastAsia"/>
              </w:rPr>
              <w:t>）团队精神</w:t>
            </w:r>
          </w:p>
        </w:tc>
        <w:tc>
          <w:tcPr>
            <w:tcW w:w="1106" w:type="dxa"/>
            <w:noWrap w:val="0"/>
            <w:vAlign w:val="center"/>
          </w:tcPr>
          <w:p>
            <w:pPr>
              <w:jc w:val="center"/>
            </w:pPr>
            <w:r>
              <w:t>60</w:t>
            </w:r>
          </w:p>
        </w:tc>
        <w:tc>
          <w:tcPr>
            <w:tcW w:w="3742" w:type="dxa"/>
            <w:noWrap w:val="0"/>
            <w:vAlign w:val="top"/>
          </w:tcPr>
          <w:p>
            <w:r>
              <w:rPr>
                <w:rFonts w:hint="eastAsia"/>
              </w:rPr>
              <w:t>1. 本学年作为3人以上组成的团体成员参加院级以上活动、赛事的（+10）；</w:t>
            </w:r>
          </w:p>
          <w:p>
            <w:r>
              <w:rPr>
                <w:rFonts w:hint="eastAsia"/>
              </w:rPr>
              <w:t>2. 本学年代表班级参加学院活动、赛事的（+10）；</w:t>
            </w:r>
          </w:p>
          <w:p>
            <w:r>
              <w:rPr>
                <w:rFonts w:hint="eastAsia"/>
              </w:rPr>
              <w:t>3. 本学年代表学院参加学校活动、代表学校参加市级以上活动、赛事的（+20）。</w:t>
            </w:r>
          </w:p>
        </w:tc>
        <w:tc>
          <w:tcPr>
            <w:tcW w:w="3662" w:type="dxa"/>
            <w:noWrap w:val="0"/>
            <w:vAlign w:val="top"/>
          </w:tcPr>
          <w:p>
            <w:r>
              <w:t xml:space="preserve">1. </w:t>
            </w:r>
            <w:r>
              <w:rPr>
                <w:rFonts w:hint="eastAsia"/>
              </w:rPr>
              <w:t>本学年没有参加一次班级集体活动、学院活动和学校活动的（-30）。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G</w:t>
            </w:r>
            <w:r>
              <w:rPr>
                <w:rFonts w:hint="eastAsia"/>
              </w:rPr>
              <w:t>）科研创新</w:t>
            </w:r>
          </w:p>
        </w:tc>
        <w:tc>
          <w:tcPr>
            <w:tcW w:w="1106" w:type="dxa"/>
            <w:noWrap w:val="0"/>
            <w:vAlign w:val="center"/>
          </w:tcPr>
          <w:p>
            <w:pPr>
              <w:jc w:val="center"/>
            </w:pPr>
            <w:r>
              <w:t>70</w:t>
            </w:r>
          </w:p>
        </w:tc>
        <w:tc>
          <w:tcPr>
            <w:tcW w:w="3742" w:type="dxa"/>
            <w:noWrap w:val="0"/>
            <w:vAlign w:val="top"/>
          </w:tcPr>
          <w:p>
            <w:r>
              <w:rPr>
                <w:rFonts w:hint="eastAsia"/>
              </w:rPr>
              <w:t>1. 参加院级以上学科竞赛并获奖的，或参加校级以上学科竞赛1次及以上的（+10）；</w:t>
            </w:r>
          </w:p>
          <w:p>
            <w:pPr>
              <w:rPr>
                <w:rFonts w:hint="eastAsia"/>
              </w:rPr>
            </w:pPr>
            <w:r>
              <w:rPr>
                <w:rFonts w:hint="eastAsia"/>
              </w:rPr>
              <w:t>2. 满足下列任一项的：a.发明专利、软件著作权被受理或者实用新型专利、外观设计专利获得授权的；b</w:t>
            </w:r>
            <w:r>
              <w:t xml:space="preserve">. </w:t>
            </w:r>
            <w:r>
              <w:rPr>
                <w:rFonts w:hint="eastAsia"/>
              </w:rPr>
              <w:t>正式出版著作物的；c.科研论文正式发表、被收录或获奖的；d</w:t>
            </w:r>
            <w:r>
              <w:t xml:space="preserve">. </w:t>
            </w:r>
            <w:r>
              <w:rPr>
                <w:rFonts w:hint="eastAsia"/>
              </w:rPr>
              <w:t>研究报告被学校或县级以上政府机关采纳的；e</w:t>
            </w:r>
            <w:r>
              <w:t xml:space="preserve">. </w:t>
            </w:r>
            <w:r>
              <w:rPr>
                <w:rFonts w:hint="eastAsia"/>
              </w:rPr>
              <w:t>科研项目在院级以上科研基金立项的（+</w:t>
            </w:r>
            <w:r>
              <w:t>10</w:t>
            </w:r>
            <w:r>
              <w:rPr>
                <w:rFonts w:hint="eastAsia"/>
              </w:rPr>
              <w:t>）。</w:t>
            </w:r>
          </w:p>
        </w:tc>
        <w:tc>
          <w:tcPr>
            <w:tcW w:w="3662" w:type="dxa"/>
            <w:noWrap w:val="0"/>
            <w:vAlign w:val="top"/>
          </w:tcPr>
          <w:p>
            <w:pPr>
              <w:rPr>
                <w:rFonts w:hint="eastAsia"/>
              </w:rPr>
            </w:pPr>
            <w:r>
              <w:rPr>
                <w:rFonts w:hint="eastAsia"/>
                <w:highlight w:val="yellow"/>
              </w:rPr>
              <w:t>1</w:t>
            </w:r>
            <w:r>
              <w:rPr>
                <w:highlight w:val="yellow"/>
              </w:rPr>
              <w:t xml:space="preserve">. </w:t>
            </w:r>
            <w:r>
              <w:rPr>
                <w:rFonts w:hint="eastAsia"/>
                <w:highlight w:val="yellow"/>
              </w:rPr>
              <w:t>科研创新中出现捏造数据、篡改数据和剽窃等学术不端行为的（-</w:t>
            </w:r>
            <w:r>
              <w:rPr>
                <w:highlight w:val="yellow"/>
              </w:rPr>
              <w:t>50/</w:t>
            </w:r>
            <w:r>
              <w:rPr>
                <w:rFonts w:hint="eastAsia"/>
                <w:highlight w:val="yellow"/>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H</w:t>
            </w:r>
            <w:r>
              <w:rPr>
                <w:rFonts w:hint="eastAsia"/>
              </w:rPr>
              <w:t>）文体素质</w:t>
            </w:r>
          </w:p>
        </w:tc>
        <w:tc>
          <w:tcPr>
            <w:tcW w:w="1106" w:type="dxa"/>
            <w:noWrap w:val="0"/>
            <w:vAlign w:val="center"/>
          </w:tcPr>
          <w:p>
            <w:pPr>
              <w:jc w:val="center"/>
            </w:pPr>
            <w:r>
              <w:t>60</w:t>
            </w:r>
          </w:p>
        </w:tc>
        <w:tc>
          <w:tcPr>
            <w:tcW w:w="3742" w:type="dxa"/>
            <w:noWrap w:val="0"/>
            <w:vAlign w:val="top"/>
          </w:tcPr>
          <w:p>
            <w:r>
              <w:rPr>
                <w:rFonts w:hint="eastAsia"/>
              </w:rPr>
              <w:t>1. 获得学校组织的理论与人文类竞赛（含演讲与辩论活动）、学校组织的群众性（非专业）体育竞赛、学校组织的群众性（非专业）文艺比赛优胜奖以上的（+20）；</w:t>
            </w:r>
          </w:p>
          <w:p>
            <w:r>
              <w:rPr>
                <w:rFonts w:hint="eastAsia"/>
              </w:rPr>
              <w:t>2. 在学校组织的运动会等体育竞赛、大学生艺术展等文艺比赛中获得校三等奖以上的或排名前8的（+20）；</w:t>
            </w:r>
          </w:p>
          <w:p>
            <w:r>
              <w:rPr>
                <w:rFonts w:hint="eastAsia"/>
              </w:rPr>
              <w:t>3. 体测为优秀的（+20）；</w:t>
            </w:r>
          </w:p>
          <w:p>
            <w:r>
              <w:rPr>
                <w:rFonts w:hint="eastAsia"/>
              </w:rPr>
              <w:t>4. 本学年获得社会艺术水平等级证书的（+20）。</w:t>
            </w:r>
          </w:p>
        </w:tc>
        <w:tc>
          <w:tcPr>
            <w:tcW w:w="3662" w:type="dxa"/>
            <w:noWrap w:val="0"/>
            <w:vAlign w:val="top"/>
          </w:tcPr>
          <w:p>
            <w:r>
              <w:t xml:space="preserve">1. </w:t>
            </w:r>
            <w:r>
              <w:rPr>
                <w:rFonts w:hint="eastAsia"/>
              </w:rPr>
              <w:t>体测成绩不及格的（-20）。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I</w:t>
            </w:r>
            <w:r>
              <w:rPr>
                <w:rFonts w:hint="eastAsia"/>
              </w:rPr>
              <w:t>）技能素质</w:t>
            </w:r>
          </w:p>
        </w:tc>
        <w:tc>
          <w:tcPr>
            <w:tcW w:w="1106" w:type="dxa"/>
            <w:noWrap w:val="0"/>
            <w:vAlign w:val="center"/>
          </w:tcPr>
          <w:p>
            <w:pPr>
              <w:jc w:val="center"/>
            </w:pPr>
            <w:r>
              <w:t>60</w:t>
            </w:r>
          </w:p>
        </w:tc>
        <w:tc>
          <w:tcPr>
            <w:tcW w:w="3742" w:type="dxa"/>
            <w:noWrap w:val="0"/>
            <w:vAlign w:val="top"/>
          </w:tcPr>
          <w:p>
            <w:r>
              <w:rPr>
                <w:rFonts w:hint="eastAsia"/>
              </w:rPr>
              <w:t>1. 本学年参加英语六级并获得4</w:t>
            </w:r>
            <w:r>
              <w:t>80</w:t>
            </w:r>
            <w:r>
              <w:rPr>
                <w:rFonts w:hint="eastAsia"/>
              </w:rPr>
              <w:t>分及以上的（+</w:t>
            </w:r>
            <w:r>
              <w:t>5</w:t>
            </w:r>
            <w:r>
              <w:rPr>
                <w:rFonts w:hint="eastAsia"/>
              </w:rPr>
              <w:t>）；</w:t>
            </w:r>
          </w:p>
          <w:p>
            <w:r>
              <w:rPr>
                <w:rFonts w:hint="eastAsia"/>
              </w:rPr>
              <w:t>2. 本学年参加外语类水平考试，获得托福考试80分及以上，或雅思6.5分及以上，或其他语种相当水平的（+20）；</w:t>
            </w:r>
          </w:p>
          <w:p>
            <w:r>
              <w:rPr>
                <w:rFonts w:hint="eastAsia"/>
              </w:rPr>
              <w:t>3. 本学年参加国家人社部专业资格（水平）考试，获得中级以上证书的；（+20）；</w:t>
            </w:r>
          </w:p>
          <w:p>
            <w:r>
              <w:rPr>
                <w:rFonts w:hint="eastAsia"/>
              </w:rPr>
              <w:t>4. 本学年获得国家职业资格证书中级（技师）以上的（+</w:t>
            </w:r>
            <w:r>
              <w:t>2</w:t>
            </w:r>
            <w:r>
              <w:rPr>
                <w:rFonts w:hint="eastAsia"/>
              </w:rPr>
              <w:t>0）。</w:t>
            </w:r>
          </w:p>
        </w:tc>
        <w:tc>
          <w:tcPr>
            <w:tcW w:w="3662"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noWrap w:val="0"/>
            <w:vAlign w:val="center"/>
          </w:tcPr>
          <w:p>
            <w:pPr>
              <w:jc w:val="center"/>
            </w:pPr>
            <w:r>
              <w:rPr>
                <w:rFonts w:hint="eastAsia"/>
              </w:rPr>
              <w:t>（</w:t>
            </w:r>
            <w:r>
              <w:t>J</w:t>
            </w:r>
            <w:r>
              <w:rPr>
                <w:rFonts w:hint="eastAsia"/>
              </w:rPr>
              <w:t>）特殊经历</w:t>
            </w:r>
          </w:p>
        </w:tc>
        <w:tc>
          <w:tcPr>
            <w:tcW w:w="1106" w:type="dxa"/>
            <w:noWrap w:val="0"/>
            <w:vAlign w:val="center"/>
          </w:tcPr>
          <w:p>
            <w:pPr>
              <w:jc w:val="center"/>
            </w:pPr>
            <w:r>
              <w:t>0</w:t>
            </w:r>
          </w:p>
        </w:tc>
        <w:tc>
          <w:tcPr>
            <w:tcW w:w="3742" w:type="dxa"/>
            <w:noWrap w:val="0"/>
            <w:vAlign w:val="top"/>
          </w:tcPr>
          <w:p>
            <w:r>
              <w:rPr>
                <w:rFonts w:hint="eastAsia"/>
              </w:rPr>
              <w:t>1. 自强不息、见义勇为等为学校争得声誉的（事迹被市级以上媒体报道、被市级以上单位确立为典型等）（+</w:t>
            </w:r>
            <w:r>
              <w:t>5</w:t>
            </w:r>
            <w:r>
              <w:rPr>
                <w:rFonts w:hint="eastAsia"/>
              </w:rPr>
              <w:t>）；</w:t>
            </w:r>
          </w:p>
          <w:p>
            <w:r>
              <w:rPr>
                <w:rFonts w:hint="eastAsia"/>
              </w:rPr>
              <w:t>2. 获得市级以上个人荣誉的（+</w:t>
            </w:r>
            <w:r>
              <w:t>5</w:t>
            </w:r>
            <w:r>
              <w:rPr>
                <w:rFonts w:hint="eastAsia"/>
              </w:rPr>
              <w:t>/项，不包括竞赛类荣誉、暑期社会实践类荣誉，同一类别荣誉不累加）；</w:t>
            </w:r>
          </w:p>
          <w:p>
            <w:r>
              <w:rPr>
                <w:rFonts w:hint="eastAsia"/>
              </w:rPr>
              <w:t>3. 学生创业的（+</w:t>
            </w:r>
            <w:r>
              <w:t>1</w:t>
            </w:r>
            <w:r>
              <w:rPr>
                <w:rFonts w:hint="eastAsia"/>
              </w:rPr>
              <w:t>）；</w:t>
            </w:r>
          </w:p>
          <w:p>
            <w:r>
              <w:rPr>
                <w:rFonts w:hint="eastAsia"/>
              </w:rPr>
              <w:t>4. 参与有组织的境外交流或学习的（+</w:t>
            </w:r>
            <w:r>
              <w:t>1</w:t>
            </w:r>
            <w:r>
              <w:rPr>
                <w:rFonts w:hint="eastAsia"/>
              </w:rPr>
              <w:t>）；</w:t>
            </w:r>
          </w:p>
          <w:p>
            <w:r>
              <w:rPr>
                <w:rFonts w:hint="eastAsia"/>
              </w:rPr>
              <w:t>5. 学生应征入伍的（+</w:t>
            </w:r>
            <w:r>
              <w:t>5</w:t>
            </w:r>
            <w:r>
              <w:rPr>
                <w:rFonts w:hint="eastAsia"/>
              </w:rPr>
              <w:t>，退伍后下一学年）；</w:t>
            </w:r>
          </w:p>
          <w:p>
            <w:r>
              <w:rPr>
                <w:rFonts w:hint="eastAsia"/>
              </w:rPr>
              <w:t>6. 参加市级以上非营利性重大活动、会议的（以工作人员、志愿者、旁听者等身份参加的不在此列）（+</w:t>
            </w:r>
            <w:r>
              <w:t>1</w:t>
            </w:r>
            <w:r>
              <w:rPr>
                <w:rFonts w:hint="eastAsia"/>
              </w:rPr>
              <w:t>）。</w:t>
            </w:r>
          </w:p>
        </w:tc>
        <w:tc>
          <w:tcPr>
            <w:tcW w:w="3662" w:type="dxa"/>
            <w:noWrap w:val="0"/>
            <w:vAlign w:val="top"/>
          </w:tcPr>
          <w:p/>
        </w:tc>
      </w:tr>
    </w:tbl>
    <w:p>
      <w:r>
        <w:rPr>
          <w:rFonts w:hint="eastAsia"/>
        </w:rPr>
        <w:t>其中A-I每项最高分为100分，J项按实际计分。</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第十一条 学院奖学金经费应遵守学校财务制度，做到提前预算、足量提取，以保证奖学金评比工作顺利进行。“拔尖创新班”等培养模式的班级，其校级奖学金进行开放式评审，超出名额比例的经费由学校另作预算补足。</w:t>
      </w:r>
    </w:p>
    <w:p>
      <w:pPr>
        <w:spacing w:line="520" w:lineRule="exact"/>
        <w:ind w:firstLine="420" w:firstLineChars="200"/>
        <w:rPr>
          <w:rFonts w:ascii="仿宋_GB2312" w:hAnsi="黑体" w:cs="黑体"/>
          <w:color w:val="000000"/>
          <w:szCs w:val="32"/>
        </w:rPr>
      </w:pPr>
    </w:p>
    <w:p>
      <w:pPr>
        <w:spacing w:line="520" w:lineRule="exact"/>
        <w:jc w:val="center"/>
        <w:rPr>
          <w:rFonts w:eastAsia="黑体"/>
          <w:color w:val="000000"/>
          <w:szCs w:val="32"/>
        </w:rPr>
      </w:pPr>
      <w:r>
        <w:rPr>
          <w:rFonts w:hint="eastAsia" w:ascii="黑体" w:hAnsi="黑体" w:eastAsia="黑体" w:cs="黑体"/>
          <w:color w:val="000000"/>
          <w:szCs w:val="32"/>
        </w:rPr>
        <w:t>第四章 评选的机构、原则和程序</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第十三条  奖学金评选机构</w:t>
      </w:r>
    </w:p>
    <w:p>
      <w:pPr>
        <w:spacing w:line="520" w:lineRule="exact"/>
        <w:ind w:firstLine="420" w:firstLineChars="200"/>
        <w:rPr>
          <w:rFonts w:hint="eastAsia"/>
        </w:rPr>
      </w:pPr>
      <w:r>
        <w:rPr>
          <w:rFonts w:hint="eastAsia" w:ascii="仿宋_GB2312" w:hAnsi="黑体" w:cs="黑体"/>
          <w:color w:val="000000"/>
          <w:szCs w:val="32"/>
        </w:rPr>
        <w:t>奖学金评定工作由学校奖学金评审委员会组织进行，学生发展与服务处负责实施。校长奖学金由学校奖学金评审委员会联合校内外专家负责评审。学校特等、一等、二等、三等奖学金、捐赠奖学金由各学院奖学金评审领导小组负责评审、学生发展与服务处负责审核。国家类奖学金的评选由教育部组织实施、省级奖学金的评选由教育厅组织实施、其他外设奖学金由奖学金设立单位组织实施，学校按照要求开展相关奖项候选人的初审和推荐工作</w:t>
      </w:r>
      <w:r>
        <w:rPr>
          <w:rFonts w:hint="eastAsia"/>
        </w:rPr>
        <w:t>。</w:t>
      </w:r>
    </w:p>
    <w:p>
      <w:pPr>
        <w:spacing w:line="520" w:lineRule="exact"/>
        <w:ind w:firstLine="420" w:firstLineChars="200"/>
        <w:rPr>
          <w:rFonts w:ascii="仿宋_GB2312" w:hAnsi="黑体" w:cs="黑体"/>
          <w:color w:val="000000"/>
          <w:szCs w:val="32"/>
        </w:rPr>
      </w:pPr>
      <w:r>
        <w:rPr>
          <w:rFonts w:hint="eastAsia"/>
        </w:rPr>
        <w:t>学院奖学金评审领导小组，小组成员由学生工作负责人、教学副院长、</w:t>
      </w:r>
      <w:r>
        <w:rPr>
          <w:rFonts w:hint="eastAsia"/>
          <w:lang w:val="en-US" w:eastAsia="zh-CN"/>
        </w:rPr>
        <w:t>系主任、</w:t>
      </w:r>
      <w:r>
        <w:rPr>
          <w:rFonts w:hint="eastAsia"/>
        </w:rPr>
        <w:t>辅导员、</w:t>
      </w:r>
      <w:r>
        <w:rPr>
          <w:rFonts w:hint="eastAsia"/>
          <w:lang w:val="en-US" w:eastAsia="zh-CN"/>
        </w:rPr>
        <w:t>教师代表</w:t>
      </w:r>
      <w:r>
        <w:rPr>
          <w:rFonts w:hint="eastAsia"/>
        </w:rPr>
        <w:t>组成。</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第十四条  评选原则</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在评奖中必须坚持“公开、公平、公正”、“宁缺毋滥”和“优中选优”的原则，做到评选条件公开、评奖名额公开、评奖程序公开和评奖结果公开，实行学院和学校二级公示制度。</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第十五条  评选程序</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奖学金每学年评定一次，一般在10月份评定上一学年的奖学金；绣山清寒考研学生奖学金于6月份评定。</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学院在评审前至少一学年拟定本学院奖学金评定实施细则，经学院奖学金评审领导小组同意，在全院范围内公示不少于5天，并报学生发展与服务处备案后方可开展下一学年奖学金评审。</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具体评选程序如下：</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 xml:space="preserve">（一）学生申报。学生根据本人表现，对照评奖条件，登录“宁波大学网上办事服务大厅”进行网上申报，经院系（或班级）奖学金评审小组民主评议后，报学院奖学金评审领导小组评定（国家奖学金无需进行网上申报）。 </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（二）学院审核。学院奖学金评审领导小组根据学院奖学金评定实施细则，严格审核，确定本学院拟推荐名单，公示无异议后，报送学生发展与服务处。</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（三）学校评审。学生发展与服务处酌情组织候选人进行面试答辩或公开竞选，在全校范围内公示获奖者名单。</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（四）确定人选。学生发展与服务处将公示无异议的获奖者名单报学校奖学金评审委员会审定，最终确定获奖名单。</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第十六条  学生发展与服务处负责学院评奖的过程控制和指导监督，并在评奖期间设立咨询、投诉信箱和电话，受理学生的咨询和投诉。</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第十七条  参评学生的所有材料以评定学年的9月1日至次年8月31日为认定依据。</w:t>
      </w:r>
    </w:p>
    <w:p>
      <w:pPr>
        <w:spacing w:line="520" w:lineRule="exact"/>
        <w:jc w:val="center"/>
        <w:rPr>
          <w:rFonts w:ascii="黑体" w:hAnsi="黑体" w:eastAsia="黑体" w:cs="黑体"/>
          <w:color w:val="000000"/>
          <w:szCs w:val="32"/>
        </w:rPr>
      </w:pPr>
      <w:r>
        <w:rPr>
          <w:rFonts w:hint="eastAsia" w:ascii="黑体" w:hAnsi="黑体" w:eastAsia="黑体" w:cs="黑体"/>
          <w:color w:val="000000"/>
          <w:szCs w:val="32"/>
        </w:rPr>
        <w:t>第五章 表彰与奖励</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 xml:space="preserve">第十八条  国家类奖学金的表彰由教育部组织实施，奖学金设立单位向获奖者颁发奖金和证书（国家励志奖学金不发证书）。 </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第十九条  省级奖学金的表彰由教育厅组织实施，奖学金设立单位向获奖者颁发奖金和证书。</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第二十条  获得校级各类奖学金和捐赠奖学金的学生，由学校发文予以表彰。学校向获奖者颁发奖金和证书（专业奖学金不发证书）。</w:t>
      </w:r>
    </w:p>
    <w:p>
      <w:pPr>
        <w:spacing w:line="520" w:lineRule="exact"/>
        <w:ind w:firstLine="420" w:firstLineChars="200"/>
        <w:jc w:val="left"/>
        <w:rPr>
          <w:rFonts w:ascii="仿宋_GB2312" w:cs="宋体"/>
          <w:color w:val="000000"/>
          <w:szCs w:val="32"/>
        </w:rPr>
      </w:pPr>
      <w:r>
        <w:rPr>
          <w:rFonts w:hint="eastAsia" w:ascii="仿宋_GB2312" w:hAnsi="黑体" w:cs="黑体"/>
          <w:color w:val="000000"/>
          <w:szCs w:val="32"/>
        </w:rPr>
        <w:t>第二十一条  捐赠奖学金的表彰奖励形式由学校与设奖单位</w:t>
      </w:r>
      <w:r>
        <w:rPr>
          <w:rFonts w:hint="eastAsia" w:ascii="仿宋_GB2312" w:cs="宋体"/>
          <w:color w:val="000000"/>
          <w:szCs w:val="32"/>
        </w:rPr>
        <w:t>或个人协商决定。</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第二十二条  国家奖学金、国家励志奖学金、省政府奖学金之间不可兼得。</w:t>
      </w:r>
    </w:p>
    <w:p>
      <w:pPr>
        <w:spacing w:line="520" w:lineRule="exact"/>
        <w:ind w:firstLine="420" w:firstLineChars="200"/>
        <w:rPr>
          <w:rFonts w:ascii="仿宋_GB2312" w:hAnsi="黑体" w:cs="黑体"/>
          <w:color w:val="000000"/>
          <w:szCs w:val="32"/>
        </w:rPr>
      </w:pPr>
      <w:r>
        <w:rPr>
          <w:rFonts w:hint="eastAsia" w:ascii="仿宋_GB2312" w:hAnsi="黑体" w:cs="黑体"/>
          <w:color w:val="000000"/>
          <w:szCs w:val="32"/>
        </w:rPr>
        <w:t>捐赠奖学金、带有资助性质的奖学金可兼得，其他奖学金不可兼得。</w:t>
      </w:r>
      <w:r>
        <w:t>校长奖学金、专业奖学金可与其他奖学金兼得。</w:t>
      </w:r>
    </w:p>
    <w:p>
      <w:pPr>
        <w:spacing w:line="520" w:lineRule="exact"/>
        <w:jc w:val="center"/>
        <w:rPr>
          <w:rFonts w:ascii="仿宋_GB2312" w:hAnsi="黑体" w:cs="黑体"/>
          <w:color w:val="000000"/>
          <w:szCs w:val="32"/>
        </w:rPr>
      </w:pPr>
      <w:r>
        <w:rPr>
          <w:rFonts w:hint="eastAsia" w:ascii="黑体" w:hAnsi="黑体" w:eastAsia="黑体" w:cs="黑体"/>
          <w:color w:val="000000"/>
          <w:szCs w:val="32"/>
        </w:rPr>
        <w:t>第六章 附则</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第二十三条  获奖学生中，凡发现有弄虚作假、欺骗组织等行为者，学校将撤销其荣誉，收回已发的奖学金；获奖学生应合理使用奖学金，用于支付学习和生活费用，奖学金不得用于请客或购买奢侈品。</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rPr>
        <w:t>第二十四条  本办法所述“以上”、“以下”、“不超过”，除特殊说明外，均指包含本数或本级在内；“超过”、“不足”，除特殊说明外，均指不含本数或本级在内；获奖学生名额按比例计算小于1人可以1人计。</w:t>
      </w:r>
    </w:p>
    <w:p>
      <w:pPr>
        <w:spacing w:line="520" w:lineRule="exact"/>
        <w:ind w:firstLine="420" w:firstLineChars="200"/>
        <w:rPr>
          <w:rFonts w:hint="eastAsia" w:ascii="仿宋_GB2312" w:hAnsi="黑体" w:cs="黑体"/>
          <w:color w:val="000000"/>
          <w:szCs w:val="32"/>
        </w:rPr>
      </w:pPr>
      <w:r>
        <w:rPr>
          <w:rFonts w:hint="eastAsia" w:ascii="仿宋_GB2312" w:hAnsi="黑体" w:cs="黑体"/>
          <w:color w:val="000000"/>
          <w:szCs w:val="32"/>
          <w:highlight w:val="yellow"/>
        </w:rPr>
        <w:t>第二十五条 本办法中未尽事宜，由</w:t>
      </w:r>
      <w:r>
        <w:rPr>
          <w:rFonts w:hint="eastAsia"/>
          <w:highlight w:val="yellow"/>
        </w:rPr>
        <w:t>学院奖学金评审领导小组负责解释。</w:t>
      </w:r>
    </w:p>
    <w:p>
      <w:pPr>
        <w:spacing w:line="520" w:lineRule="exact"/>
        <w:ind w:firstLine="420" w:firstLineChars="200"/>
        <w:rPr>
          <w:rFonts w:ascii="仿宋_GB2312" w:hAnsi="黑体" w:cs="黑体"/>
          <w:color w:val="000000"/>
          <w:szCs w:val="32"/>
        </w:rPr>
      </w:pPr>
    </w:p>
    <w:p>
      <w:pPr>
        <w:pStyle w:val="2"/>
        <w:kinsoku w:val="0"/>
        <w:wordWrap w:val="0"/>
        <w:overflowPunct w:val="0"/>
        <w:autoSpaceDE w:val="0"/>
        <w:autoSpaceDN w:val="0"/>
        <w:adjustRightInd w:val="0"/>
        <w:ind w:right="1264" w:firstLine="0"/>
        <w:jc w:val="right"/>
        <w:rPr>
          <w:rFonts w:hint="eastAsia" w:ascii="仿宋_GB2312"/>
        </w:rPr>
      </w:pPr>
      <w:r>
        <w:rPr>
          <w:rFonts w:hint="eastAsia" w:ascii="仿宋_GB2312"/>
        </w:rPr>
        <w:t xml:space="preserve">                 </w:t>
      </w:r>
      <w:bookmarkStart w:id="0" w:name="_GoBack"/>
      <w:bookmarkEnd w:id="0"/>
      <w:r>
        <w:rPr>
          <w:rFonts w:hint="eastAsia" w:ascii="仿宋_GB2312"/>
        </w:rPr>
        <w:t xml:space="preserve"> 宁波大学</w:t>
      </w:r>
      <w:r>
        <w:rPr>
          <w:rFonts w:hint="eastAsia" w:ascii="仿宋_GB2312"/>
          <w:lang w:val="en-US" w:eastAsia="zh-CN"/>
        </w:rPr>
        <w:t>土木与环境工程</w:t>
      </w:r>
      <w:r>
        <w:rPr>
          <w:rFonts w:hint="eastAsia" w:ascii="仿宋_GB2312"/>
        </w:rPr>
        <w:t>学院                        2021年</w:t>
      </w:r>
      <w:r>
        <w:rPr>
          <w:rFonts w:hint="eastAsia" w:ascii="仿宋_GB2312"/>
          <w:lang w:val="en-US" w:eastAsia="zh-CN"/>
        </w:rPr>
        <w:t>9</w:t>
      </w:r>
      <w:r>
        <w:rPr>
          <w:rFonts w:hint="eastAsia" w:ascii="仿宋_GB2312"/>
        </w:rPr>
        <w:t>月</w:t>
      </w:r>
      <w:r>
        <w:rPr>
          <w:rFonts w:hint="eastAsia" w:ascii="仿宋_GB2312"/>
          <w:lang w:val="en-US" w:eastAsia="zh-CN"/>
        </w:rPr>
        <w:t>9</w:t>
      </w:r>
      <w:r>
        <w:rPr>
          <w:rFonts w:hint="eastAsia" w:ascii="仿宋_GB2312"/>
        </w:rPr>
        <w:t>日</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黑体简体">
    <w:altName w:val="微软雅黑"/>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rPr>
    </w:pPr>
    <w:r>
      <w:rPr>
        <w:rStyle w:val="6"/>
        <w:rFonts w:hint="eastAsia"/>
        <w:sz w:val="28"/>
      </w:rPr>
      <w:t>—</w:t>
    </w:r>
    <w:r>
      <w:rPr>
        <w:sz w:val="28"/>
      </w:rPr>
      <w:fldChar w:fldCharType="begin"/>
    </w:r>
    <w:r>
      <w:rPr>
        <w:rStyle w:val="6"/>
        <w:sz w:val="28"/>
      </w:rPr>
      <w:instrText xml:space="preserve">PAGE  </w:instrText>
    </w:r>
    <w:r>
      <w:rPr>
        <w:sz w:val="28"/>
      </w:rPr>
      <w:fldChar w:fldCharType="separate"/>
    </w:r>
    <w:r>
      <w:rPr>
        <w:rStyle w:val="6"/>
        <w:sz w:val="28"/>
      </w:rPr>
      <w:t>11</w:t>
    </w:r>
    <w:r>
      <w:rPr>
        <w:sz w:val="28"/>
      </w:rPr>
      <w:fldChar w:fldCharType="end"/>
    </w:r>
    <w:r>
      <w:rPr>
        <w:rStyle w:val="6"/>
        <w:rFonts w:hint="eastAsia"/>
        <w:sz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DCB33"/>
    <w:multiLevelType w:val="singleLevel"/>
    <w:tmpl w:val="A23DCB33"/>
    <w:lvl w:ilvl="0" w:tentative="0">
      <w:start w:val="1"/>
      <w:numFmt w:val="decimal"/>
      <w:suff w:val="space"/>
      <w:lvlText w:val="%1."/>
      <w:lvlJc w:val="left"/>
    </w:lvl>
  </w:abstractNum>
  <w:abstractNum w:abstractNumId="1">
    <w:nsid w:val="BF9E0339"/>
    <w:multiLevelType w:val="singleLevel"/>
    <w:tmpl w:val="BF9E0339"/>
    <w:lvl w:ilvl="0" w:tentative="0">
      <w:start w:val="5"/>
      <w:numFmt w:val="chineseCounting"/>
      <w:suff w:val="space"/>
      <w:lvlText w:val="第%1条"/>
      <w:lvlJc w:val="left"/>
      <w:rPr>
        <w:rFonts w:hint="eastAsia"/>
      </w:rPr>
    </w:lvl>
  </w:abstractNum>
  <w:abstractNum w:abstractNumId="2">
    <w:nsid w:val="597F1567"/>
    <w:multiLevelType w:val="singleLevel"/>
    <w:tmpl w:val="597F1567"/>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654E"/>
    <w:rsid w:val="063E7163"/>
    <w:rsid w:val="0C6F5AFF"/>
    <w:rsid w:val="20AB6C03"/>
    <w:rsid w:val="31204579"/>
    <w:rsid w:val="3F786272"/>
    <w:rsid w:val="4E483EBD"/>
    <w:rsid w:val="50367DC1"/>
    <w:rsid w:val="5CA07CA1"/>
    <w:rsid w:val="5F2C52D7"/>
    <w:rsid w:val="60B81B26"/>
    <w:rsid w:val="62076518"/>
    <w:rsid w:val="654A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szCs w:val="20"/>
    </w:rPr>
  </w:style>
  <w:style w:type="paragraph" w:styleId="3">
    <w:name w:val="footer"/>
    <w:basedOn w:val="1"/>
    <w:qFormat/>
    <w:uiPriority w:val="0"/>
    <w:pPr>
      <w:tabs>
        <w:tab w:val="center" w:pos="4153"/>
        <w:tab w:val="right" w:pos="8306"/>
      </w:tabs>
      <w:snapToGrid w:val="0"/>
      <w:jc w:val="left"/>
    </w:pPr>
    <w:rPr>
      <w:rFonts w:eastAsia="仿宋_GB2312"/>
      <w:sz w:val="18"/>
      <w:szCs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2021-09-09T02:40:00Z</dcterms:created>
  <dc:creator>Shirley</dc:creator>
  <cp:lastModifiedBy>Shirley</cp:lastModifiedBy>
  <dcterms:modified xsi:type="dcterms:W3CDTF">2021-09-10T01:30:28Z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C6FE7ACF397443FC9671860427290DFC</vt:lpwstr>
  </property>
</Properties>
</file>